
<file path=[Content_Types].xml><?xml version="1.0" encoding="utf-8"?>
<Types xmlns="http://schemas.openxmlformats.org/package/2006/content-types">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D4FB" w14:textId="77777777" w:rsidR="00917E9E" w:rsidRDefault="00000000">
      <w:pPr>
        <w:jc w:val="center"/>
      </w:pPr>
      <w:r>
        <w:rPr>
          <w:noProof/>
        </w:rPr>
        <w:drawing>
          <wp:inline distT="0" distB="0" distL="0" distR="0" wp14:anchorId="508121A2" wp14:editId="04F419F3">
            <wp:extent cx="2743200" cy="149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upy_logo.png"/>
                    <pic:cNvPicPr/>
                  </pic:nvPicPr>
                  <pic:blipFill>
                    <a:blip r:embed="rId8"/>
                    <a:stretch>
                      <a:fillRect/>
                    </a:stretch>
                  </pic:blipFill>
                  <pic:spPr>
                    <a:xfrm>
                      <a:off x="0" y="0"/>
                      <a:ext cx="2743200" cy="1498600"/>
                    </a:xfrm>
                    <a:prstGeom prst="rect">
                      <a:avLst/>
                    </a:prstGeom>
                  </pic:spPr>
                </pic:pic>
              </a:graphicData>
            </a:graphic>
          </wp:inline>
        </w:drawing>
      </w:r>
    </w:p>
    <w:p w14:paraId="3FC66DC3" w14:textId="77777777" w:rsidR="00917E9E" w:rsidRPr="00446C17" w:rsidRDefault="00000000">
      <w:pPr>
        <w:pStyle w:val="Title"/>
        <w:jc w:val="center"/>
        <w:rPr>
          <w:color w:val="002060"/>
        </w:rPr>
      </w:pPr>
      <w:r w:rsidRPr="00446C17">
        <w:rPr>
          <w:rFonts w:ascii="Arial" w:hAnsi="Arial"/>
          <w:b/>
          <w:color w:val="002060"/>
          <w:sz w:val="40"/>
        </w:rPr>
        <w:t>POLICY BRIEF CHPT.1</w:t>
      </w:r>
    </w:p>
    <w:p w14:paraId="3A6D9DBE" w14:textId="77777777" w:rsidR="00917E9E" w:rsidRPr="00446C17" w:rsidRDefault="00000000" w:rsidP="00BD50A0">
      <w:pPr>
        <w:spacing w:after="0" w:line="240" w:lineRule="auto"/>
        <w:jc w:val="both"/>
        <w:rPr>
          <w:b/>
          <w:bCs/>
        </w:rPr>
      </w:pPr>
      <w:r w:rsidRPr="00446C17">
        <w:rPr>
          <w:b/>
          <w:bCs/>
          <w:color w:val="002060"/>
        </w:rPr>
        <w:t>Policy Brief</w:t>
      </w:r>
      <w:r w:rsidRPr="00446C17">
        <w:rPr>
          <w:b/>
          <w:bCs/>
        </w:rPr>
        <w:t xml:space="preserve">: </w:t>
      </w:r>
      <w:r w:rsidRPr="00446C17">
        <w:t>The Architecture of Inequality</w:t>
      </w:r>
    </w:p>
    <w:p w14:paraId="1A495BF1" w14:textId="667984EC" w:rsidR="00917E9E" w:rsidRDefault="00000000" w:rsidP="00BD50A0">
      <w:pPr>
        <w:spacing w:after="0" w:line="240" w:lineRule="auto"/>
        <w:jc w:val="both"/>
      </w:pPr>
      <w:r w:rsidRPr="00446C17">
        <w:rPr>
          <w:b/>
          <w:bCs/>
          <w:color w:val="002060"/>
        </w:rPr>
        <w:t>Chapter 1</w:t>
      </w:r>
      <w:r>
        <w:t>: Beyond the Racial Wealth Gap: Structural Class Exclusion and the Case for a Social Mobility Revolution in America</w:t>
      </w:r>
    </w:p>
    <w:p w14:paraId="00C025DF" w14:textId="77777777" w:rsidR="00BD50A0" w:rsidRDefault="00BD50A0" w:rsidP="00BD50A0">
      <w:pPr>
        <w:spacing w:after="0" w:line="240" w:lineRule="auto"/>
        <w:jc w:val="both"/>
      </w:pPr>
    </w:p>
    <w:p w14:paraId="0B58DED5" w14:textId="77777777" w:rsidR="00917E9E" w:rsidRDefault="00000000" w:rsidP="00BD50A0">
      <w:pPr>
        <w:spacing w:after="0" w:line="240" w:lineRule="auto"/>
        <w:jc w:val="both"/>
      </w:pPr>
      <w:r w:rsidRPr="00446C17">
        <w:rPr>
          <w:b/>
          <w:bCs/>
          <w:color w:val="002060"/>
        </w:rPr>
        <w:t>Executive Summary</w:t>
      </w:r>
      <w:r>
        <w:t>: The Chapter Claim</w:t>
      </w:r>
    </w:p>
    <w:p w14:paraId="4BA33485" w14:textId="77777777" w:rsidR="00BD50A0" w:rsidRDefault="00BD50A0" w:rsidP="00BD50A0">
      <w:pPr>
        <w:spacing w:after="0" w:line="240" w:lineRule="auto"/>
        <w:jc w:val="both"/>
      </w:pPr>
    </w:p>
    <w:p w14:paraId="6B694048" w14:textId="77777777" w:rsidR="00917E9E" w:rsidRDefault="00000000" w:rsidP="00BD50A0">
      <w:pPr>
        <w:spacing w:after="0" w:line="240" w:lineRule="auto"/>
        <w:jc w:val="both"/>
      </w:pPr>
      <w:r>
        <w:t>Chapter 1 establishes a new methodological foundation for understanding American inequality, arguing that the traditional focus on aggregate racial medians functions as a Strategic Wedge that obscures a massive, shared Class Chasm. The central structural claim is that wealth accumulation is not a linear race but a vertical launch, defined by two distinct physical realities: a Gravity Trap anchoring the bottom 80% in labor dependency and debt, and Escape Velocity for the top 20% elite whose assets compound independent of labor.</w:t>
      </w:r>
    </w:p>
    <w:p w14:paraId="3FD3FF1F" w14:textId="77777777" w:rsidR="00917E9E" w:rsidRDefault="00000000" w:rsidP="00BD50A0">
      <w:pPr>
        <w:spacing w:after="0" w:line="240" w:lineRule="auto"/>
        <w:jc w:val="both"/>
      </w:pPr>
      <w:r>
        <w:t>Standard metrics often fail by using Total Population Cutoffs (TPC) that aggregate the extreme wealth of the elite with the stagnation of the working class, creating an Aggregate Distortion. This chapter corrects these distortions by introducing Race-Specific Cutoffs (RSC) and the Functional Materiality Assessment (FMA) to reveal that at the absolute bottom, Black families and low-wealth White families share a state of Shared Structural Exclusion, remaining nearly 100% excluded from the middle-class standard.</w:t>
      </w:r>
    </w:p>
    <w:p w14:paraId="6A501334" w14:textId="77777777" w:rsidR="00BD50A0" w:rsidRDefault="00BD50A0" w:rsidP="00BD50A0">
      <w:pPr>
        <w:spacing w:after="0" w:line="240" w:lineRule="auto"/>
        <w:jc w:val="both"/>
      </w:pPr>
    </w:p>
    <w:p w14:paraId="42EF1091" w14:textId="77777777" w:rsidR="00917E9E" w:rsidRDefault="00000000" w:rsidP="00BD50A0">
      <w:pPr>
        <w:pStyle w:val="Heading2"/>
        <w:spacing w:before="0" w:line="240" w:lineRule="auto"/>
        <w:rPr>
          <w:rFonts w:ascii="Arial" w:hAnsi="Arial"/>
          <w:color w:val="002060"/>
        </w:rPr>
      </w:pPr>
      <w:r w:rsidRPr="00446C17">
        <w:rPr>
          <w:rFonts w:ascii="Arial" w:hAnsi="Arial"/>
          <w:color w:val="002060"/>
        </w:rPr>
        <w:t>I. Key Definitions: The Physics of Wealth</w:t>
      </w:r>
    </w:p>
    <w:p w14:paraId="074D128C" w14:textId="77777777" w:rsidR="00BD50A0" w:rsidRPr="00BD50A0" w:rsidRDefault="00BD50A0" w:rsidP="00BD50A0">
      <w:pPr>
        <w:spacing w:after="0" w:line="240" w:lineRule="auto"/>
      </w:pPr>
    </w:p>
    <w:p w14:paraId="685B6F61" w14:textId="77777777" w:rsidR="00917E9E" w:rsidRDefault="00000000" w:rsidP="00BD50A0">
      <w:pPr>
        <w:spacing w:after="0" w:line="240" w:lineRule="auto"/>
        <w:jc w:val="both"/>
      </w:pPr>
      <w:r>
        <w:t>To diagnose the root causes of wealth inequality, this study utilizes several novel diagnostic concepts within the Race-Class-Mobility (R-C-M) Framework:</w:t>
      </w:r>
    </w:p>
    <w:p w14:paraId="71BDF34C" w14:textId="77777777" w:rsidR="00BD50A0" w:rsidRDefault="00BD50A0" w:rsidP="00BD50A0">
      <w:pPr>
        <w:spacing w:after="0" w:line="240" w:lineRule="auto"/>
        <w:jc w:val="both"/>
      </w:pPr>
    </w:p>
    <w:p w14:paraId="16CCBAE0" w14:textId="77777777" w:rsidR="00917E9E" w:rsidRDefault="00000000" w:rsidP="00BD50A0">
      <w:pPr>
        <w:pStyle w:val="ListParagraph"/>
        <w:numPr>
          <w:ilvl w:val="0"/>
          <w:numId w:val="10"/>
        </w:numPr>
        <w:spacing w:after="0" w:line="240" w:lineRule="auto"/>
        <w:jc w:val="both"/>
      </w:pPr>
      <w:r>
        <w:t>Gravity Trap: A state of structural stagnation where the downward pull of debt, consumption, and asset depreciation exceeds the upward lift of labor income.</w:t>
      </w:r>
    </w:p>
    <w:p w14:paraId="4729E6A9" w14:textId="77777777" w:rsidR="00917E9E" w:rsidRDefault="00000000" w:rsidP="00BD50A0">
      <w:pPr>
        <w:pStyle w:val="ListParagraph"/>
        <w:numPr>
          <w:ilvl w:val="0"/>
          <w:numId w:val="10"/>
        </w:numPr>
        <w:spacing w:after="0" w:line="240" w:lineRule="auto"/>
        <w:jc w:val="both"/>
      </w:pPr>
      <w:r>
        <w:t>Escape Velocity: The financial threshold (identified as the Q4 Structural Breakpoint) where the rate of return on capital (r) consistently exceeds the rate of economic growth (g), allowing wealth to generate its own lift independent of labor. This builds on the work of Piketty (2014) regarding the hyper-concentration of wealth.</w:t>
      </w:r>
    </w:p>
    <w:p w14:paraId="2D82BF95" w14:textId="77777777" w:rsidR="00917E9E" w:rsidRDefault="00000000" w:rsidP="00BD50A0">
      <w:pPr>
        <w:pStyle w:val="ListParagraph"/>
        <w:numPr>
          <w:ilvl w:val="0"/>
          <w:numId w:val="10"/>
        </w:numPr>
        <w:spacing w:after="0" w:line="240" w:lineRule="auto"/>
        <w:jc w:val="both"/>
      </w:pPr>
      <w:r>
        <w:t>The Red Line ($364,500): The empirical Structural Breakpoint required for a pre-retirement household (ages 52–67) to enter the Growth Standard and achieve long-term financial independence.</w:t>
      </w:r>
    </w:p>
    <w:p w14:paraId="0BFC76F9" w14:textId="77777777" w:rsidR="00917E9E" w:rsidRDefault="00000000" w:rsidP="00BD50A0">
      <w:pPr>
        <w:pStyle w:val="ListParagraph"/>
        <w:numPr>
          <w:ilvl w:val="0"/>
          <w:numId w:val="10"/>
        </w:numPr>
        <w:spacing w:after="0" w:line="240" w:lineRule="auto"/>
        <w:jc w:val="both"/>
      </w:pPr>
      <w:r>
        <w:t>Analytical Cushion: A nominal wealth advantage (e.g., $8,110) comprised of depreciating assets like vehicles that provides temporary crisis relief but zero structural lift toward the Growth Standard.</w:t>
      </w:r>
    </w:p>
    <w:p w14:paraId="6F6CD8A4" w14:textId="77777777" w:rsidR="00917E9E" w:rsidRDefault="00000000" w:rsidP="00BD50A0">
      <w:pPr>
        <w:pStyle w:val="ListParagraph"/>
        <w:numPr>
          <w:ilvl w:val="0"/>
          <w:numId w:val="10"/>
        </w:numPr>
        <w:spacing w:after="0" w:line="240" w:lineRule="auto"/>
        <w:jc w:val="both"/>
      </w:pPr>
      <w:r>
        <w:lastRenderedPageBreak/>
        <w:t>Race Tax: The specific atmospheric drag of discrimination and exclusion that burns the fuel of Black households twice as fast as their White peers during mobility attempts.</w:t>
      </w:r>
    </w:p>
    <w:p w14:paraId="3DBFEF88" w14:textId="77777777" w:rsidR="00917E9E" w:rsidRDefault="00000000" w:rsidP="00BD50A0">
      <w:pPr>
        <w:pStyle w:val="ListParagraph"/>
        <w:numPr>
          <w:ilvl w:val="0"/>
          <w:numId w:val="10"/>
        </w:numPr>
        <w:spacing w:after="0" w:line="240" w:lineRule="auto"/>
        <w:jc w:val="both"/>
      </w:pPr>
      <w:r>
        <w:t>Governmental Capability: The institutional power of social and political institutions to provide individuals with the resources they need to be financially capable.</w:t>
      </w:r>
    </w:p>
    <w:p w14:paraId="380C33DA" w14:textId="77777777" w:rsidR="00BD50A0" w:rsidRDefault="00BD50A0" w:rsidP="00BD50A0">
      <w:pPr>
        <w:spacing w:after="0" w:line="240" w:lineRule="auto"/>
        <w:jc w:val="both"/>
      </w:pPr>
    </w:p>
    <w:p w14:paraId="07551A16" w14:textId="77777777" w:rsidR="00917E9E" w:rsidRDefault="00000000" w:rsidP="00BD50A0">
      <w:pPr>
        <w:pStyle w:val="Heading2"/>
        <w:spacing w:before="0" w:line="240" w:lineRule="auto"/>
        <w:rPr>
          <w:rFonts w:ascii="Arial" w:hAnsi="Arial"/>
          <w:color w:val="002060"/>
        </w:rPr>
      </w:pPr>
      <w:r w:rsidRPr="00446C17">
        <w:rPr>
          <w:rFonts w:ascii="Arial" w:hAnsi="Arial"/>
          <w:color w:val="002060"/>
        </w:rPr>
        <w:t>II. Key Statistics and Visual Findings</w:t>
      </w:r>
    </w:p>
    <w:p w14:paraId="682A24F1" w14:textId="77777777" w:rsidR="00BD50A0" w:rsidRPr="00BD50A0" w:rsidRDefault="00BD50A0" w:rsidP="00BD50A0">
      <w:pPr>
        <w:spacing w:after="0" w:line="240" w:lineRule="auto"/>
      </w:pPr>
    </w:p>
    <w:p w14:paraId="66D6841F" w14:textId="77777777" w:rsidR="00917E9E" w:rsidRDefault="00000000" w:rsidP="00BD50A0">
      <w:pPr>
        <w:spacing w:after="0" w:line="240" w:lineRule="auto"/>
        <w:jc w:val="both"/>
      </w:pPr>
      <w:r>
        <w:t>The following findings demonstrate why the current economic engine is failing to produce mobility for the majority of Americans:</w:t>
      </w:r>
    </w:p>
    <w:p w14:paraId="3ECA3191" w14:textId="77777777" w:rsidR="00BD50A0" w:rsidRDefault="00BD50A0" w:rsidP="00BD50A0">
      <w:pPr>
        <w:spacing w:after="0" w:line="240" w:lineRule="auto"/>
        <w:jc w:val="both"/>
      </w:pPr>
    </w:p>
    <w:p w14:paraId="4E979A10" w14:textId="77777777" w:rsidR="00917E9E" w:rsidRDefault="00000000" w:rsidP="00BD50A0">
      <w:pPr>
        <w:pStyle w:val="ListParagraph"/>
        <w:numPr>
          <w:ilvl w:val="0"/>
          <w:numId w:val="11"/>
        </w:numPr>
        <w:spacing w:after="0" w:line="240" w:lineRule="auto"/>
        <w:jc w:val="both"/>
      </w:pPr>
      <w:r w:rsidRPr="00446C17">
        <w:rPr>
          <w:b/>
          <w:bCs/>
          <w:color w:val="002060"/>
        </w:rPr>
        <w:t>100% vs. 97.8% Exclusion</w:t>
      </w:r>
      <w:r>
        <w:t>: When measured against the Red Line ($364,500), the Black bottom 20% is 100% excluded, and the White bottom 20% is 97.77% excluded. This proves the nominal dollar gap at the floor is functionally immaterial relative to the national standard of living.</w:t>
      </w:r>
    </w:p>
    <w:p w14:paraId="28FE3ADF" w14:textId="77777777" w:rsidR="00917E9E" w:rsidRDefault="00000000" w:rsidP="00BD50A0">
      <w:pPr>
        <w:pStyle w:val="ListParagraph"/>
        <w:numPr>
          <w:ilvl w:val="0"/>
          <w:numId w:val="11"/>
        </w:numPr>
        <w:spacing w:after="0" w:line="240" w:lineRule="auto"/>
        <w:jc w:val="both"/>
      </w:pPr>
      <w:r w:rsidRPr="00446C17">
        <w:rPr>
          <w:b/>
          <w:bCs/>
          <w:color w:val="002060"/>
        </w:rPr>
        <w:t>The Illusion of Advantage</w:t>
      </w:r>
      <w:r>
        <w:t>: While standard metrics show a gap between the White bottom 20% ($8,110) and the Black bottom 20% ($0), this $8,110 is an Analytical Cushion dominated by depreciating vehicles (~$5,000). Bricker et al. (2017) note that vehicles cost money to maintain and fuel, making them a liability rather than a launch pad.</w:t>
      </w:r>
    </w:p>
    <w:p w14:paraId="3C25356F" w14:textId="77777777" w:rsidR="00917E9E" w:rsidRDefault="00000000" w:rsidP="00BD50A0">
      <w:pPr>
        <w:pStyle w:val="ListParagraph"/>
        <w:numPr>
          <w:ilvl w:val="0"/>
          <w:numId w:val="11"/>
        </w:numPr>
        <w:spacing w:after="0" w:line="240" w:lineRule="auto"/>
        <w:jc w:val="both"/>
      </w:pPr>
      <w:r w:rsidRPr="00446C17">
        <w:rPr>
          <w:b/>
          <w:bCs/>
          <w:color w:val="002060"/>
        </w:rPr>
        <w:t>9.5x Likelihood at the Apex</w:t>
      </w:r>
      <w:r>
        <w:t>: White households are nearly 9.5 times more likely to reach the national Top 20% than Black households (OR = 9.489, p &lt; 0.000). This confirms race as a primary driver of absolute starting position on the national ladder.</w:t>
      </w:r>
    </w:p>
    <w:p w14:paraId="7A7FB48B" w14:textId="77777777" w:rsidR="00917E9E" w:rsidRDefault="00000000" w:rsidP="00BD50A0">
      <w:pPr>
        <w:pStyle w:val="ListParagraph"/>
        <w:numPr>
          <w:ilvl w:val="0"/>
          <w:numId w:val="11"/>
        </w:numPr>
        <w:spacing w:after="0" w:line="240" w:lineRule="auto"/>
        <w:jc w:val="both"/>
      </w:pPr>
      <w:r w:rsidRPr="00446C17">
        <w:rPr>
          <w:b/>
          <w:bCs/>
          <w:color w:val="002060"/>
        </w:rPr>
        <w:t>$275,150 Governmental Functioning Deficit (GFD)</w:t>
      </w:r>
      <w:r>
        <w:t>: Low-wealth White households face a $275,150 deficit against the assets required for a secure retirement. While political rhetoric emphasizes their marginal advantage over Black peers, their lived reality is defined by this massive void in Wealth-Generating Functioning.</w:t>
      </w:r>
    </w:p>
    <w:p w14:paraId="103E34CE" w14:textId="77777777" w:rsidR="00917E9E" w:rsidRDefault="00000000" w:rsidP="00BD50A0">
      <w:pPr>
        <w:pStyle w:val="ListParagraph"/>
        <w:numPr>
          <w:ilvl w:val="0"/>
          <w:numId w:val="11"/>
        </w:numPr>
        <w:spacing w:after="0" w:line="240" w:lineRule="auto"/>
        <w:jc w:val="both"/>
      </w:pPr>
      <w:r w:rsidRPr="00446C17">
        <w:rPr>
          <w:b/>
          <w:bCs/>
          <w:color w:val="002060"/>
        </w:rPr>
        <w:t>The 55% Mobility Penalty</w:t>
      </w:r>
      <w:r>
        <w:t>: For the Xennial generation (born in the 1980s), the Race Tax has more than doubled compared to previous generations, resulting in a 55% penalty on upward mobility.</w:t>
      </w:r>
    </w:p>
    <w:p w14:paraId="637D0FDE" w14:textId="1D4BC7DF" w:rsidR="00446C17" w:rsidRDefault="00446C17" w:rsidP="00BD50A0">
      <w:pPr>
        <w:spacing w:after="0" w:line="240" w:lineRule="auto"/>
      </w:pPr>
    </w:p>
    <w:p w14:paraId="3D7C8380" w14:textId="0513CBC6" w:rsidR="00917E9E" w:rsidRDefault="00000000" w:rsidP="00BD50A0">
      <w:pPr>
        <w:spacing w:after="0" w:line="240" w:lineRule="auto"/>
        <w:jc w:val="both"/>
      </w:pPr>
      <w:r w:rsidRPr="00446C17">
        <w:rPr>
          <w:b/>
          <w:bCs/>
          <w:color w:val="002060"/>
        </w:rPr>
        <w:t>Table 1</w:t>
      </w:r>
      <w:r>
        <w:t xml:space="preserve">: The Scale of Shared Structural Exclusion (2023) </w:t>
      </w:r>
    </w:p>
    <w:tbl>
      <w:tblPr>
        <w:tblStyle w:val="GridTable1Light"/>
        <w:tblW w:w="0" w:type="auto"/>
        <w:tblLook w:val="04A0" w:firstRow="1" w:lastRow="0" w:firstColumn="1" w:lastColumn="0" w:noHBand="0" w:noVBand="1"/>
      </w:tblPr>
      <w:tblGrid>
        <w:gridCol w:w="1442"/>
        <w:gridCol w:w="1616"/>
        <w:gridCol w:w="1710"/>
        <w:gridCol w:w="2035"/>
        <w:gridCol w:w="2053"/>
      </w:tblGrid>
      <w:tr w:rsidR="00446C17" w:rsidRPr="00446C17" w14:paraId="1E8A6BE2" w14:textId="77777777" w:rsidTr="008878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8F14F6" w14:textId="77777777" w:rsidR="00446C17" w:rsidRPr="00446C17" w:rsidRDefault="00446C17" w:rsidP="00BD50A0">
            <w:pPr>
              <w:jc w:val="both"/>
            </w:pPr>
            <w:r w:rsidRPr="00446C17">
              <w:t>Wealth Group (RSC)</w:t>
            </w:r>
          </w:p>
        </w:tc>
        <w:tc>
          <w:tcPr>
            <w:tcW w:w="0" w:type="auto"/>
            <w:hideMark/>
          </w:tcPr>
          <w:p w14:paraId="6C240C10" w14:textId="77777777" w:rsidR="00446C17" w:rsidRPr="00446C17" w:rsidRDefault="00446C17" w:rsidP="00BD50A0">
            <w:pPr>
              <w:jc w:val="both"/>
              <w:cnfStyle w:val="100000000000" w:firstRow="1" w:lastRow="0" w:firstColumn="0" w:lastColumn="0" w:oddVBand="0" w:evenVBand="0" w:oddHBand="0" w:evenHBand="0" w:firstRowFirstColumn="0" w:firstRowLastColumn="0" w:lastRowFirstColumn="0" w:lastRowLastColumn="0"/>
            </w:pPr>
            <w:r w:rsidRPr="00446C17">
              <w:t>Black Median Net Worth</w:t>
            </w:r>
          </w:p>
        </w:tc>
        <w:tc>
          <w:tcPr>
            <w:tcW w:w="0" w:type="auto"/>
            <w:hideMark/>
          </w:tcPr>
          <w:p w14:paraId="3DEFB4D4" w14:textId="77777777" w:rsidR="00446C17" w:rsidRPr="00446C17" w:rsidRDefault="00446C17" w:rsidP="00BD50A0">
            <w:pPr>
              <w:jc w:val="both"/>
              <w:cnfStyle w:val="100000000000" w:firstRow="1" w:lastRow="0" w:firstColumn="0" w:lastColumn="0" w:oddVBand="0" w:evenVBand="0" w:oddHBand="0" w:evenHBand="0" w:firstRowFirstColumn="0" w:firstRowLastColumn="0" w:lastRowFirstColumn="0" w:lastRowLastColumn="0"/>
            </w:pPr>
            <w:r w:rsidRPr="00446C17">
              <w:t>White Median Net Worth</w:t>
            </w:r>
          </w:p>
        </w:tc>
        <w:tc>
          <w:tcPr>
            <w:tcW w:w="0" w:type="auto"/>
            <w:hideMark/>
          </w:tcPr>
          <w:p w14:paraId="2FF8FBF6" w14:textId="77777777" w:rsidR="00446C17" w:rsidRPr="00446C17" w:rsidRDefault="00446C17" w:rsidP="00BD50A0">
            <w:pPr>
              <w:jc w:val="both"/>
              <w:cnfStyle w:val="100000000000" w:firstRow="1" w:lastRow="0" w:firstColumn="0" w:lastColumn="0" w:oddVBand="0" w:evenVBand="0" w:oddHBand="0" w:evenHBand="0" w:firstRowFirstColumn="0" w:firstRowLastColumn="0" w:lastRowFirstColumn="0" w:lastRowLastColumn="0"/>
            </w:pPr>
            <w:r w:rsidRPr="00446C17">
              <w:t>Relative Exclusion Ratio (Black)</w:t>
            </w:r>
          </w:p>
        </w:tc>
        <w:tc>
          <w:tcPr>
            <w:tcW w:w="0" w:type="auto"/>
            <w:hideMark/>
          </w:tcPr>
          <w:p w14:paraId="7DE6E920" w14:textId="77777777" w:rsidR="00446C17" w:rsidRPr="00446C17" w:rsidRDefault="00446C17" w:rsidP="00BD50A0">
            <w:pPr>
              <w:jc w:val="both"/>
              <w:cnfStyle w:val="100000000000" w:firstRow="1" w:lastRow="0" w:firstColumn="0" w:lastColumn="0" w:oddVBand="0" w:evenVBand="0" w:oddHBand="0" w:evenHBand="0" w:firstRowFirstColumn="0" w:firstRowLastColumn="0" w:lastRowFirstColumn="0" w:lastRowLastColumn="0"/>
            </w:pPr>
            <w:r w:rsidRPr="00446C17">
              <w:t>Relative Exclusion Ratio (White)</w:t>
            </w:r>
          </w:p>
        </w:tc>
      </w:tr>
      <w:tr w:rsidR="00446C17" w:rsidRPr="00446C17" w14:paraId="3E3505BC" w14:textId="77777777" w:rsidTr="00887821">
        <w:tc>
          <w:tcPr>
            <w:cnfStyle w:val="001000000000" w:firstRow="0" w:lastRow="0" w:firstColumn="1" w:lastColumn="0" w:oddVBand="0" w:evenVBand="0" w:oddHBand="0" w:evenHBand="0" w:firstRowFirstColumn="0" w:firstRowLastColumn="0" w:lastRowFirstColumn="0" w:lastRowLastColumn="0"/>
            <w:tcW w:w="0" w:type="auto"/>
            <w:hideMark/>
          </w:tcPr>
          <w:p w14:paraId="3F598F4C" w14:textId="77777777" w:rsidR="00446C17" w:rsidRPr="00446C17" w:rsidRDefault="00446C17" w:rsidP="00BD50A0">
            <w:pPr>
              <w:jc w:val="both"/>
            </w:pPr>
            <w:r w:rsidRPr="00446C17">
              <w:t>Bottom 20%</w:t>
            </w:r>
          </w:p>
        </w:tc>
        <w:tc>
          <w:tcPr>
            <w:tcW w:w="0" w:type="auto"/>
            <w:hideMark/>
          </w:tcPr>
          <w:p w14:paraId="69DB3A69" w14:textId="77777777" w:rsidR="00446C17" w:rsidRPr="00446C17" w:rsidRDefault="00446C17" w:rsidP="00BD50A0">
            <w:pPr>
              <w:jc w:val="both"/>
              <w:cnfStyle w:val="000000000000" w:firstRow="0" w:lastRow="0" w:firstColumn="0" w:lastColumn="0" w:oddVBand="0" w:evenVBand="0" w:oddHBand="0" w:evenHBand="0" w:firstRowFirstColumn="0" w:firstRowLastColumn="0" w:lastRowFirstColumn="0" w:lastRowLastColumn="0"/>
            </w:pPr>
            <w:r w:rsidRPr="00446C17">
              <w:t>$0</w:t>
            </w:r>
          </w:p>
        </w:tc>
        <w:tc>
          <w:tcPr>
            <w:tcW w:w="0" w:type="auto"/>
            <w:hideMark/>
          </w:tcPr>
          <w:p w14:paraId="1A5CCC40" w14:textId="77777777" w:rsidR="00446C17" w:rsidRPr="00446C17" w:rsidRDefault="00446C17" w:rsidP="00BD50A0">
            <w:pPr>
              <w:jc w:val="both"/>
              <w:cnfStyle w:val="000000000000" w:firstRow="0" w:lastRow="0" w:firstColumn="0" w:lastColumn="0" w:oddVBand="0" w:evenVBand="0" w:oddHBand="0" w:evenHBand="0" w:firstRowFirstColumn="0" w:firstRowLastColumn="0" w:lastRowFirstColumn="0" w:lastRowLastColumn="0"/>
            </w:pPr>
            <w:r w:rsidRPr="00446C17">
              <w:t>$8,110</w:t>
            </w:r>
          </w:p>
        </w:tc>
        <w:tc>
          <w:tcPr>
            <w:tcW w:w="0" w:type="auto"/>
            <w:hideMark/>
          </w:tcPr>
          <w:p w14:paraId="7514819F" w14:textId="77777777" w:rsidR="00446C17" w:rsidRPr="00446C17" w:rsidRDefault="00446C17" w:rsidP="00BD50A0">
            <w:pPr>
              <w:jc w:val="both"/>
              <w:cnfStyle w:val="000000000000" w:firstRow="0" w:lastRow="0" w:firstColumn="0" w:lastColumn="0" w:oddVBand="0" w:evenVBand="0" w:oddHBand="0" w:evenHBand="0" w:firstRowFirstColumn="0" w:firstRowLastColumn="0" w:lastRowFirstColumn="0" w:lastRowLastColumn="0"/>
            </w:pPr>
            <w:r w:rsidRPr="00446C17">
              <w:t>100%</w:t>
            </w:r>
          </w:p>
        </w:tc>
        <w:tc>
          <w:tcPr>
            <w:tcW w:w="0" w:type="auto"/>
            <w:hideMark/>
          </w:tcPr>
          <w:p w14:paraId="2EBDB0D1" w14:textId="77777777" w:rsidR="00446C17" w:rsidRPr="00446C17" w:rsidRDefault="00446C17" w:rsidP="00BD50A0">
            <w:pPr>
              <w:jc w:val="both"/>
              <w:cnfStyle w:val="000000000000" w:firstRow="0" w:lastRow="0" w:firstColumn="0" w:lastColumn="0" w:oddVBand="0" w:evenVBand="0" w:oddHBand="0" w:evenHBand="0" w:firstRowFirstColumn="0" w:firstRowLastColumn="0" w:lastRowFirstColumn="0" w:lastRowLastColumn="0"/>
            </w:pPr>
            <w:r w:rsidRPr="00446C17">
              <w:t>97.8%</w:t>
            </w:r>
          </w:p>
        </w:tc>
      </w:tr>
      <w:tr w:rsidR="00446C17" w:rsidRPr="00446C17" w14:paraId="289150FA" w14:textId="77777777" w:rsidTr="00887821">
        <w:tc>
          <w:tcPr>
            <w:cnfStyle w:val="001000000000" w:firstRow="0" w:lastRow="0" w:firstColumn="1" w:lastColumn="0" w:oddVBand="0" w:evenVBand="0" w:oddHBand="0" w:evenHBand="0" w:firstRowFirstColumn="0" w:firstRowLastColumn="0" w:lastRowFirstColumn="0" w:lastRowLastColumn="0"/>
            <w:tcW w:w="0" w:type="auto"/>
            <w:hideMark/>
          </w:tcPr>
          <w:p w14:paraId="1329E5E6" w14:textId="77777777" w:rsidR="00446C17" w:rsidRPr="00446C17" w:rsidRDefault="00446C17" w:rsidP="00BD50A0">
            <w:pPr>
              <w:jc w:val="both"/>
            </w:pPr>
            <w:r w:rsidRPr="00446C17">
              <w:t>Bottom 40%</w:t>
            </w:r>
          </w:p>
        </w:tc>
        <w:tc>
          <w:tcPr>
            <w:tcW w:w="0" w:type="auto"/>
            <w:hideMark/>
          </w:tcPr>
          <w:p w14:paraId="496571E9" w14:textId="77777777" w:rsidR="00446C17" w:rsidRPr="00446C17" w:rsidRDefault="00446C17" w:rsidP="00BD50A0">
            <w:pPr>
              <w:jc w:val="both"/>
              <w:cnfStyle w:val="000000000000" w:firstRow="0" w:lastRow="0" w:firstColumn="0" w:lastColumn="0" w:oddVBand="0" w:evenVBand="0" w:oddHBand="0" w:evenHBand="0" w:firstRowFirstColumn="0" w:firstRowLastColumn="0" w:lastRowFirstColumn="0" w:lastRowLastColumn="0"/>
            </w:pPr>
            <w:r w:rsidRPr="00446C17">
              <w:t>$0</w:t>
            </w:r>
          </w:p>
        </w:tc>
        <w:tc>
          <w:tcPr>
            <w:tcW w:w="0" w:type="auto"/>
            <w:hideMark/>
          </w:tcPr>
          <w:p w14:paraId="53CFCAD0" w14:textId="77777777" w:rsidR="00446C17" w:rsidRPr="00446C17" w:rsidRDefault="00446C17" w:rsidP="00BD50A0">
            <w:pPr>
              <w:jc w:val="both"/>
              <w:cnfStyle w:val="000000000000" w:firstRow="0" w:lastRow="0" w:firstColumn="0" w:lastColumn="0" w:oddVBand="0" w:evenVBand="0" w:oddHBand="0" w:evenHBand="0" w:firstRowFirstColumn="0" w:firstRowLastColumn="0" w:lastRowFirstColumn="0" w:lastRowLastColumn="0"/>
            </w:pPr>
            <w:r w:rsidRPr="00446C17">
              <w:t>$94,500</w:t>
            </w:r>
          </w:p>
        </w:tc>
        <w:tc>
          <w:tcPr>
            <w:tcW w:w="0" w:type="auto"/>
            <w:hideMark/>
          </w:tcPr>
          <w:p w14:paraId="65A47F3A" w14:textId="77777777" w:rsidR="00446C17" w:rsidRPr="00446C17" w:rsidRDefault="00446C17" w:rsidP="00BD50A0">
            <w:pPr>
              <w:jc w:val="both"/>
              <w:cnfStyle w:val="000000000000" w:firstRow="0" w:lastRow="0" w:firstColumn="0" w:lastColumn="0" w:oddVBand="0" w:evenVBand="0" w:oddHBand="0" w:evenHBand="0" w:firstRowFirstColumn="0" w:firstRowLastColumn="0" w:lastRowFirstColumn="0" w:lastRowLastColumn="0"/>
            </w:pPr>
            <w:r w:rsidRPr="00446C17">
              <w:t>100%</w:t>
            </w:r>
          </w:p>
        </w:tc>
        <w:tc>
          <w:tcPr>
            <w:tcW w:w="0" w:type="auto"/>
            <w:hideMark/>
          </w:tcPr>
          <w:p w14:paraId="72B1C2F6" w14:textId="77777777" w:rsidR="00446C17" w:rsidRPr="00446C17" w:rsidRDefault="00446C17" w:rsidP="00BD50A0">
            <w:pPr>
              <w:jc w:val="both"/>
              <w:cnfStyle w:val="000000000000" w:firstRow="0" w:lastRow="0" w:firstColumn="0" w:lastColumn="0" w:oddVBand="0" w:evenVBand="0" w:oddHBand="0" w:evenHBand="0" w:firstRowFirstColumn="0" w:firstRowLastColumn="0" w:lastRowFirstColumn="0" w:lastRowLastColumn="0"/>
            </w:pPr>
            <w:r w:rsidRPr="00446C17">
              <w:t>74%</w:t>
            </w:r>
          </w:p>
        </w:tc>
      </w:tr>
      <w:tr w:rsidR="00446C17" w:rsidRPr="00446C17" w14:paraId="09496AD2" w14:textId="77777777" w:rsidTr="00887821">
        <w:tc>
          <w:tcPr>
            <w:cnfStyle w:val="001000000000" w:firstRow="0" w:lastRow="0" w:firstColumn="1" w:lastColumn="0" w:oddVBand="0" w:evenVBand="0" w:oddHBand="0" w:evenHBand="0" w:firstRowFirstColumn="0" w:firstRowLastColumn="0" w:lastRowFirstColumn="0" w:lastRowLastColumn="0"/>
            <w:tcW w:w="0" w:type="auto"/>
            <w:hideMark/>
          </w:tcPr>
          <w:p w14:paraId="69DC592A" w14:textId="77777777" w:rsidR="00446C17" w:rsidRPr="00446C17" w:rsidRDefault="00446C17" w:rsidP="00BD50A0">
            <w:pPr>
              <w:jc w:val="both"/>
            </w:pPr>
            <w:r w:rsidRPr="00446C17">
              <w:t>Bottom 60%</w:t>
            </w:r>
          </w:p>
        </w:tc>
        <w:tc>
          <w:tcPr>
            <w:tcW w:w="0" w:type="auto"/>
            <w:hideMark/>
          </w:tcPr>
          <w:p w14:paraId="45559200" w14:textId="77777777" w:rsidR="00446C17" w:rsidRPr="00446C17" w:rsidRDefault="00446C17" w:rsidP="00BD50A0">
            <w:pPr>
              <w:jc w:val="both"/>
              <w:cnfStyle w:val="000000000000" w:firstRow="0" w:lastRow="0" w:firstColumn="0" w:lastColumn="0" w:oddVBand="0" w:evenVBand="0" w:oddHBand="0" w:evenHBand="0" w:firstRowFirstColumn="0" w:firstRowLastColumn="0" w:lastRowFirstColumn="0" w:lastRowLastColumn="0"/>
            </w:pPr>
            <w:r w:rsidRPr="00446C17">
              <w:t>$2,000</w:t>
            </w:r>
          </w:p>
        </w:tc>
        <w:tc>
          <w:tcPr>
            <w:tcW w:w="0" w:type="auto"/>
            <w:hideMark/>
          </w:tcPr>
          <w:p w14:paraId="7ECED97F" w14:textId="77777777" w:rsidR="00446C17" w:rsidRPr="00446C17" w:rsidRDefault="00446C17" w:rsidP="00BD50A0">
            <w:pPr>
              <w:jc w:val="both"/>
              <w:cnfStyle w:val="000000000000" w:firstRow="0" w:lastRow="0" w:firstColumn="0" w:lastColumn="0" w:oddVBand="0" w:evenVBand="0" w:oddHBand="0" w:evenHBand="0" w:firstRowFirstColumn="0" w:firstRowLastColumn="0" w:lastRowFirstColumn="0" w:lastRowLastColumn="0"/>
            </w:pPr>
            <w:r w:rsidRPr="00446C17">
              <w:t>$192,050</w:t>
            </w:r>
          </w:p>
        </w:tc>
        <w:tc>
          <w:tcPr>
            <w:tcW w:w="0" w:type="auto"/>
            <w:hideMark/>
          </w:tcPr>
          <w:p w14:paraId="607AD29F" w14:textId="77777777" w:rsidR="00446C17" w:rsidRPr="00446C17" w:rsidRDefault="00446C17" w:rsidP="00BD50A0">
            <w:pPr>
              <w:jc w:val="both"/>
              <w:cnfStyle w:val="000000000000" w:firstRow="0" w:lastRow="0" w:firstColumn="0" w:lastColumn="0" w:oddVBand="0" w:evenVBand="0" w:oddHBand="0" w:evenHBand="0" w:firstRowFirstColumn="0" w:firstRowLastColumn="0" w:lastRowFirstColumn="0" w:lastRowLastColumn="0"/>
            </w:pPr>
            <w:r w:rsidRPr="00446C17">
              <w:t>99%</w:t>
            </w:r>
          </w:p>
        </w:tc>
        <w:tc>
          <w:tcPr>
            <w:tcW w:w="0" w:type="auto"/>
            <w:hideMark/>
          </w:tcPr>
          <w:p w14:paraId="62EF16C5" w14:textId="77777777" w:rsidR="00446C17" w:rsidRPr="00446C17" w:rsidRDefault="00446C17" w:rsidP="00BD50A0">
            <w:pPr>
              <w:jc w:val="both"/>
              <w:cnfStyle w:val="000000000000" w:firstRow="0" w:lastRow="0" w:firstColumn="0" w:lastColumn="0" w:oddVBand="0" w:evenVBand="0" w:oddHBand="0" w:evenHBand="0" w:firstRowFirstColumn="0" w:firstRowLastColumn="0" w:lastRowFirstColumn="0" w:lastRowLastColumn="0"/>
            </w:pPr>
            <w:r w:rsidRPr="00446C17">
              <w:t>47%</w:t>
            </w:r>
          </w:p>
        </w:tc>
      </w:tr>
      <w:tr w:rsidR="00446C17" w:rsidRPr="00446C17" w14:paraId="266C0E84" w14:textId="77777777" w:rsidTr="00887821">
        <w:tc>
          <w:tcPr>
            <w:cnfStyle w:val="001000000000" w:firstRow="0" w:lastRow="0" w:firstColumn="1" w:lastColumn="0" w:oddVBand="0" w:evenVBand="0" w:oddHBand="0" w:evenHBand="0" w:firstRowFirstColumn="0" w:firstRowLastColumn="0" w:lastRowFirstColumn="0" w:lastRowLastColumn="0"/>
            <w:tcW w:w="0" w:type="auto"/>
            <w:hideMark/>
          </w:tcPr>
          <w:p w14:paraId="6093B94D" w14:textId="77777777" w:rsidR="00446C17" w:rsidRPr="00446C17" w:rsidRDefault="00446C17" w:rsidP="00BD50A0">
            <w:pPr>
              <w:jc w:val="both"/>
            </w:pPr>
            <w:r w:rsidRPr="00446C17">
              <w:t>Bottom 80%</w:t>
            </w:r>
          </w:p>
        </w:tc>
        <w:tc>
          <w:tcPr>
            <w:tcW w:w="0" w:type="auto"/>
            <w:hideMark/>
          </w:tcPr>
          <w:p w14:paraId="1E38B5F6" w14:textId="77777777" w:rsidR="00446C17" w:rsidRPr="00446C17" w:rsidRDefault="00446C17" w:rsidP="00BD50A0">
            <w:pPr>
              <w:jc w:val="both"/>
              <w:cnfStyle w:val="000000000000" w:firstRow="0" w:lastRow="0" w:firstColumn="0" w:lastColumn="0" w:oddVBand="0" w:evenVBand="0" w:oddHBand="0" w:evenHBand="0" w:firstRowFirstColumn="0" w:firstRowLastColumn="0" w:lastRowFirstColumn="0" w:lastRowLastColumn="0"/>
            </w:pPr>
            <w:r w:rsidRPr="00446C17">
              <w:t>$16,900</w:t>
            </w:r>
          </w:p>
        </w:tc>
        <w:tc>
          <w:tcPr>
            <w:tcW w:w="0" w:type="auto"/>
            <w:hideMark/>
          </w:tcPr>
          <w:p w14:paraId="00A962EE" w14:textId="77777777" w:rsidR="00446C17" w:rsidRPr="00446C17" w:rsidRDefault="00446C17" w:rsidP="00BD50A0">
            <w:pPr>
              <w:jc w:val="both"/>
              <w:cnfStyle w:val="000000000000" w:firstRow="0" w:lastRow="0" w:firstColumn="0" w:lastColumn="0" w:oddVBand="0" w:evenVBand="0" w:oddHBand="0" w:evenHBand="0" w:firstRowFirstColumn="0" w:firstRowLastColumn="0" w:lastRowFirstColumn="0" w:lastRowLastColumn="0"/>
            </w:pPr>
            <w:r w:rsidRPr="00446C17">
              <w:t>$325,000</w:t>
            </w:r>
          </w:p>
        </w:tc>
        <w:tc>
          <w:tcPr>
            <w:tcW w:w="0" w:type="auto"/>
            <w:hideMark/>
          </w:tcPr>
          <w:p w14:paraId="7D44FFA7" w14:textId="77777777" w:rsidR="00446C17" w:rsidRPr="00446C17" w:rsidRDefault="00446C17" w:rsidP="00BD50A0">
            <w:pPr>
              <w:jc w:val="both"/>
              <w:cnfStyle w:val="000000000000" w:firstRow="0" w:lastRow="0" w:firstColumn="0" w:lastColumn="0" w:oddVBand="0" w:evenVBand="0" w:oddHBand="0" w:evenHBand="0" w:firstRowFirstColumn="0" w:firstRowLastColumn="0" w:lastRowFirstColumn="0" w:lastRowLastColumn="0"/>
            </w:pPr>
            <w:r w:rsidRPr="00446C17">
              <w:t>95%</w:t>
            </w:r>
          </w:p>
        </w:tc>
        <w:tc>
          <w:tcPr>
            <w:tcW w:w="0" w:type="auto"/>
            <w:hideMark/>
          </w:tcPr>
          <w:p w14:paraId="5B10968A" w14:textId="77777777" w:rsidR="00446C17" w:rsidRPr="00446C17" w:rsidRDefault="00446C17" w:rsidP="00BD50A0">
            <w:pPr>
              <w:jc w:val="both"/>
              <w:cnfStyle w:val="000000000000" w:firstRow="0" w:lastRow="0" w:firstColumn="0" w:lastColumn="0" w:oddVBand="0" w:evenVBand="0" w:oddHBand="0" w:evenHBand="0" w:firstRowFirstColumn="0" w:firstRowLastColumn="0" w:lastRowFirstColumn="0" w:lastRowLastColumn="0"/>
            </w:pPr>
            <w:r w:rsidRPr="00446C17">
              <w:t>11%</w:t>
            </w:r>
          </w:p>
        </w:tc>
      </w:tr>
    </w:tbl>
    <w:p w14:paraId="27A095E8" w14:textId="77777777" w:rsidR="00446C17" w:rsidRDefault="00446C17" w:rsidP="00BD50A0">
      <w:pPr>
        <w:spacing w:after="0" w:line="240" w:lineRule="auto"/>
        <w:jc w:val="both"/>
      </w:pPr>
    </w:p>
    <w:p w14:paraId="6CCD95F8" w14:textId="77777777" w:rsidR="00917E9E" w:rsidRDefault="00000000" w:rsidP="00BD50A0">
      <w:pPr>
        <w:pStyle w:val="Heading2"/>
        <w:spacing w:before="0" w:line="240" w:lineRule="auto"/>
        <w:rPr>
          <w:rFonts w:ascii="Arial" w:hAnsi="Arial"/>
          <w:color w:val="002060"/>
        </w:rPr>
      </w:pPr>
      <w:r w:rsidRPr="00446C17">
        <w:rPr>
          <w:rFonts w:ascii="Arial" w:hAnsi="Arial"/>
          <w:color w:val="002060"/>
        </w:rPr>
        <w:t>III. The Invariance Anomaly and Shared Exclusion</w:t>
      </w:r>
    </w:p>
    <w:p w14:paraId="770769EB" w14:textId="77777777" w:rsidR="00BD50A0" w:rsidRPr="00BD50A0" w:rsidRDefault="00BD50A0" w:rsidP="00BD50A0">
      <w:pPr>
        <w:spacing w:after="0" w:line="240" w:lineRule="auto"/>
      </w:pPr>
    </w:p>
    <w:p w14:paraId="25FF4E72" w14:textId="77777777" w:rsidR="00917E9E" w:rsidRDefault="00000000" w:rsidP="00BD50A0">
      <w:pPr>
        <w:spacing w:after="0" w:line="240" w:lineRule="auto"/>
        <w:jc w:val="both"/>
      </w:pPr>
      <w:r>
        <w:lastRenderedPageBreak/>
        <w:t>One of the chapter's most critical findings is the Invariance Anomaly. When using the Race-Specific Cutoff (RSC) to isolate class standing within each racial group, longitudinal modeling confirms that socioeconomic predictors like education and marital status operate with statistical identity for the bottom 60% of both races.</w:t>
      </w:r>
    </w:p>
    <w:p w14:paraId="7860312F" w14:textId="77777777" w:rsidR="00BD50A0" w:rsidRDefault="00BD50A0" w:rsidP="00BD50A0">
      <w:pPr>
        <w:spacing w:after="0" w:line="240" w:lineRule="auto"/>
        <w:jc w:val="both"/>
      </w:pPr>
    </w:p>
    <w:p w14:paraId="4E712EED" w14:textId="77777777" w:rsidR="00917E9E" w:rsidRDefault="00000000" w:rsidP="00BD50A0">
      <w:pPr>
        <w:spacing w:after="0" w:line="240" w:lineRule="auto"/>
        <w:jc w:val="both"/>
      </w:pPr>
      <w:r>
        <w:t>Global Wald tests at the bottom 40% and 60% fail to reject the equality of covariate effects across race. This reveals that at the bottom, the accumulation engine is broken in a shared way. Efforts such as attaining a college degree function differently for a household in the Gravity Trap than for one with Escape Velocity. For the bottom quintiles, income is often consumed by daily survival and debt before it can be converted into wealth.</w:t>
      </w:r>
    </w:p>
    <w:p w14:paraId="56B70C40" w14:textId="77777777" w:rsidR="00BD50A0" w:rsidRDefault="00BD50A0" w:rsidP="00BD50A0">
      <w:pPr>
        <w:spacing w:after="0" w:line="240" w:lineRule="auto"/>
        <w:jc w:val="both"/>
      </w:pPr>
    </w:p>
    <w:p w14:paraId="672206D2" w14:textId="77777777" w:rsidR="00917E9E" w:rsidRDefault="00000000" w:rsidP="00BD50A0">
      <w:pPr>
        <w:pStyle w:val="Heading2"/>
        <w:spacing w:before="0" w:line="240" w:lineRule="auto"/>
        <w:rPr>
          <w:rFonts w:ascii="Arial" w:hAnsi="Arial"/>
          <w:color w:val="002060"/>
        </w:rPr>
      </w:pPr>
      <w:r w:rsidRPr="00446C17">
        <w:rPr>
          <w:rFonts w:ascii="Arial" w:hAnsi="Arial"/>
          <w:color w:val="002060"/>
        </w:rPr>
        <w:t>IV. Moving Toward a Capability State</w:t>
      </w:r>
    </w:p>
    <w:p w14:paraId="0CD2BC39" w14:textId="77777777" w:rsidR="00BD50A0" w:rsidRPr="00BD50A0" w:rsidRDefault="00BD50A0" w:rsidP="00BD50A0">
      <w:pPr>
        <w:spacing w:after="0" w:line="240" w:lineRule="auto"/>
      </w:pPr>
    </w:p>
    <w:p w14:paraId="1F6CA67E" w14:textId="77777777" w:rsidR="00917E9E" w:rsidRDefault="00000000" w:rsidP="00BD50A0">
      <w:pPr>
        <w:spacing w:after="0" w:line="240" w:lineRule="auto"/>
        <w:jc w:val="both"/>
      </w:pPr>
      <w:r>
        <w:t>To restore the American Dream, the chapter argues for a transition from a Consumption State to a Capability State. We must shift from Safety Nets designed for survival to Launch Pads designed for wealth accumulation.</w:t>
      </w:r>
    </w:p>
    <w:p w14:paraId="28B2121D" w14:textId="77777777" w:rsidR="00BD50A0" w:rsidRDefault="00BD50A0" w:rsidP="00BD50A0">
      <w:pPr>
        <w:spacing w:after="0" w:line="240" w:lineRule="auto"/>
        <w:jc w:val="both"/>
      </w:pPr>
    </w:p>
    <w:p w14:paraId="263C0172" w14:textId="77777777" w:rsidR="00917E9E" w:rsidRDefault="00000000" w:rsidP="00BD50A0">
      <w:pPr>
        <w:spacing w:after="0" w:line="240" w:lineRule="auto"/>
        <w:jc w:val="both"/>
      </w:pPr>
      <w:r w:rsidRPr="00BD50A0">
        <w:rPr>
          <w:b/>
          <w:bCs/>
          <w:color w:val="002060"/>
        </w:rPr>
        <w:t>Table 2</w:t>
      </w:r>
      <w:r>
        <w:t xml:space="preserve">: The Three Functionings of Governmental Capability </w:t>
      </w:r>
    </w:p>
    <w:tbl>
      <w:tblPr>
        <w:tblStyle w:val="GridTable1Light"/>
        <w:tblW w:w="5000" w:type="pct"/>
        <w:tblLook w:val="04A0" w:firstRow="1" w:lastRow="0" w:firstColumn="1" w:lastColumn="0" w:noHBand="0" w:noVBand="1"/>
      </w:tblPr>
      <w:tblGrid>
        <w:gridCol w:w="1476"/>
        <w:gridCol w:w="2082"/>
        <w:gridCol w:w="1568"/>
        <w:gridCol w:w="3730"/>
      </w:tblGrid>
      <w:tr w:rsidR="00BD50A0" w:rsidRPr="00BD50A0" w14:paraId="150222AC" w14:textId="77777777" w:rsidTr="00BD5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hideMark/>
          </w:tcPr>
          <w:p w14:paraId="6E0594A1" w14:textId="77777777" w:rsidR="00BD50A0" w:rsidRPr="00BD50A0" w:rsidRDefault="00BD50A0" w:rsidP="00BD50A0">
            <w:pPr>
              <w:jc w:val="both"/>
            </w:pPr>
            <w:r w:rsidRPr="00BD50A0">
              <w:t>The Tool</w:t>
            </w:r>
          </w:p>
        </w:tc>
        <w:tc>
          <w:tcPr>
            <w:tcW w:w="1175" w:type="pct"/>
            <w:hideMark/>
          </w:tcPr>
          <w:p w14:paraId="6723C9F0" w14:textId="77777777" w:rsidR="00BD50A0" w:rsidRPr="00BD50A0" w:rsidRDefault="00BD50A0" w:rsidP="00BD50A0">
            <w:pPr>
              <w:jc w:val="both"/>
              <w:cnfStyle w:val="100000000000" w:firstRow="1" w:lastRow="0" w:firstColumn="0" w:lastColumn="0" w:oddVBand="0" w:evenVBand="0" w:oddHBand="0" w:evenHBand="0" w:firstRowFirstColumn="0" w:firstRowLastColumn="0" w:lastRowFirstColumn="0" w:lastRowLastColumn="0"/>
            </w:pPr>
            <w:r w:rsidRPr="00BD50A0">
              <w:t>The Functioning</w:t>
            </w:r>
          </w:p>
        </w:tc>
        <w:tc>
          <w:tcPr>
            <w:tcW w:w="885" w:type="pct"/>
            <w:hideMark/>
          </w:tcPr>
          <w:p w14:paraId="6306FA24" w14:textId="77777777" w:rsidR="00BD50A0" w:rsidRPr="00BD50A0" w:rsidRDefault="00BD50A0" w:rsidP="00BD50A0">
            <w:pPr>
              <w:jc w:val="both"/>
              <w:cnfStyle w:val="100000000000" w:firstRow="1" w:lastRow="0" w:firstColumn="0" w:lastColumn="0" w:oddVBand="0" w:evenVBand="0" w:oddHBand="0" w:evenHBand="0" w:firstRowFirstColumn="0" w:firstRowLastColumn="0" w:lastRowFirstColumn="0" w:lastRowLastColumn="0"/>
            </w:pPr>
            <w:r w:rsidRPr="00BD50A0">
              <w:t>Policy Output</w:t>
            </w:r>
          </w:p>
        </w:tc>
        <w:tc>
          <w:tcPr>
            <w:tcW w:w="2106" w:type="pct"/>
            <w:hideMark/>
          </w:tcPr>
          <w:p w14:paraId="1DB71DE2" w14:textId="77777777" w:rsidR="00BD50A0" w:rsidRPr="00BD50A0" w:rsidRDefault="00BD50A0" w:rsidP="00BD50A0">
            <w:pPr>
              <w:jc w:val="both"/>
              <w:cnfStyle w:val="100000000000" w:firstRow="1" w:lastRow="0" w:firstColumn="0" w:lastColumn="0" w:oddVBand="0" w:evenVBand="0" w:oddHBand="0" w:evenHBand="0" w:firstRowFirstColumn="0" w:firstRowLastColumn="0" w:lastRowFirstColumn="0" w:lastRowLastColumn="0"/>
            </w:pPr>
            <w:r w:rsidRPr="00BD50A0">
              <w:t>Structural Result</w:t>
            </w:r>
          </w:p>
        </w:tc>
      </w:tr>
      <w:tr w:rsidR="00BD50A0" w:rsidRPr="00BD50A0" w14:paraId="0B8F79EB" w14:textId="77777777" w:rsidTr="00BD50A0">
        <w:tc>
          <w:tcPr>
            <w:cnfStyle w:val="001000000000" w:firstRow="0" w:lastRow="0" w:firstColumn="1" w:lastColumn="0" w:oddVBand="0" w:evenVBand="0" w:oddHBand="0" w:evenHBand="0" w:firstRowFirstColumn="0" w:firstRowLastColumn="0" w:lastRowFirstColumn="0" w:lastRowLastColumn="0"/>
            <w:tcW w:w="833" w:type="pct"/>
            <w:hideMark/>
          </w:tcPr>
          <w:p w14:paraId="0DF8E379" w14:textId="77777777" w:rsidR="00BD50A0" w:rsidRPr="00BD50A0" w:rsidRDefault="00BD50A0" w:rsidP="00BD50A0">
            <w:pPr>
              <w:jc w:val="both"/>
            </w:pPr>
            <w:r w:rsidRPr="00BD50A0">
              <w:t>1. Institutions</w:t>
            </w:r>
          </w:p>
        </w:tc>
        <w:tc>
          <w:tcPr>
            <w:tcW w:w="1175" w:type="pct"/>
            <w:hideMark/>
          </w:tcPr>
          <w:p w14:paraId="203B5B45" w14:textId="77777777" w:rsidR="00BD50A0" w:rsidRPr="00BD50A0" w:rsidRDefault="00BD50A0" w:rsidP="00BD50A0">
            <w:pPr>
              <w:jc w:val="both"/>
              <w:cnfStyle w:val="000000000000" w:firstRow="0" w:lastRow="0" w:firstColumn="0" w:lastColumn="0" w:oddVBand="0" w:evenVBand="0" w:oddHBand="0" w:evenHBand="0" w:firstRowFirstColumn="0" w:firstRowLastColumn="0" w:lastRowFirstColumn="0" w:lastRowLastColumn="0"/>
            </w:pPr>
            <w:r w:rsidRPr="00BD50A0">
              <w:rPr>
                <w:b/>
                <w:bCs/>
              </w:rPr>
              <w:t>Financial Inclusion-Generating</w:t>
            </w:r>
          </w:p>
        </w:tc>
        <w:tc>
          <w:tcPr>
            <w:tcW w:w="885" w:type="pct"/>
            <w:hideMark/>
          </w:tcPr>
          <w:p w14:paraId="20293664" w14:textId="77777777" w:rsidR="00BD50A0" w:rsidRPr="00BD50A0" w:rsidRDefault="00BD50A0" w:rsidP="00BD50A0">
            <w:pPr>
              <w:jc w:val="both"/>
              <w:cnfStyle w:val="000000000000" w:firstRow="0" w:lastRow="0" w:firstColumn="0" w:lastColumn="0" w:oddVBand="0" w:evenVBand="0" w:oddHBand="0" w:evenHBand="0" w:firstRowFirstColumn="0" w:firstRowLastColumn="0" w:lastRowFirstColumn="0" w:lastRowLastColumn="0"/>
            </w:pPr>
            <w:r w:rsidRPr="00BD50A0">
              <w:t>Universal CDAs</w:t>
            </w:r>
          </w:p>
        </w:tc>
        <w:tc>
          <w:tcPr>
            <w:tcW w:w="2106" w:type="pct"/>
            <w:hideMark/>
          </w:tcPr>
          <w:p w14:paraId="68186960" w14:textId="77777777" w:rsidR="00BD50A0" w:rsidRPr="00BD50A0" w:rsidRDefault="00BD50A0" w:rsidP="00BD50A0">
            <w:pPr>
              <w:jc w:val="both"/>
              <w:cnfStyle w:val="000000000000" w:firstRow="0" w:lastRow="0" w:firstColumn="0" w:lastColumn="0" w:oddVBand="0" w:evenVBand="0" w:oddHBand="0" w:evenHBand="0" w:firstRowFirstColumn="0" w:firstRowLastColumn="0" w:lastRowFirstColumn="0" w:lastRowLastColumn="0"/>
            </w:pPr>
            <w:r w:rsidRPr="00BD50A0">
              <w:rPr>
                <w:b/>
                <w:bCs/>
              </w:rPr>
              <w:t>Access</w:t>
            </w:r>
            <w:r w:rsidRPr="00BD50A0">
              <w:t>: Connects citizens to the financial grid without predatory friction.</w:t>
            </w:r>
          </w:p>
        </w:tc>
      </w:tr>
      <w:tr w:rsidR="00BD50A0" w:rsidRPr="00BD50A0" w14:paraId="17443A35" w14:textId="77777777" w:rsidTr="00BD50A0">
        <w:tc>
          <w:tcPr>
            <w:cnfStyle w:val="001000000000" w:firstRow="0" w:lastRow="0" w:firstColumn="1" w:lastColumn="0" w:oddVBand="0" w:evenVBand="0" w:oddHBand="0" w:evenHBand="0" w:firstRowFirstColumn="0" w:firstRowLastColumn="0" w:lastRowFirstColumn="0" w:lastRowLastColumn="0"/>
            <w:tcW w:w="833" w:type="pct"/>
            <w:hideMark/>
          </w:tcPr>
          <w:p w14:paraId="1A44F162" w14:textId="77777777" w:rsidR="00BD50A0" w:rsidRPr="00BD50A0" w:rsidRDefault="00BD50A0" w:rsidP="00BD50A0">
            <w:pPr>
              <w:jc w:val="both"/>
            </w:pPr>
            <w:r w:rsidRPr="00BD50A0">
              <w:t>2. Income</w:t>
            </w:r>
          </w:p>
        </w:tc>
        <w:tc>
          <w:tcPr>
            <w:tcW w:w="1175" w:type="pct"/>
            <w:hideMark/>
          </w:tcPr>
          <w:p w14:paraId="61ECFB3D" w14:textId="77777777" w:rsidR="00BD50A0" w:rsidRPr="00BD50A0" w:rsidRDefault="00BD50A0" w:rsidP="00BD50A0">
            <w:pPr>
              <w:jc w:val="both"/>
              <w:cnfStyle w:val="000000000000" w:firstRow="0" w:lastRow="0" w:firstColumn="0" w:lastColumn="0" w:oddVBand="0" w:evenVBand="0" w:oddHBand="0" w:evenHBand="0" w:firstRowFirstColumn="0" w:firstRowLastColumn="0" w:lastRowFirstColumn="0" w:lastRowLastColumn="0"/>
            </w:pPr>
            <w:r w:rsidRPr="00BD50A0">
              <w:rPr>
                <w:b/>
                <w:bCs/>
              </w:rPr>
              <w:t>Income-Generating</w:t>
            </w:r>
          </w:p>
        </w:tc>
        <w:tc>
          <w:tcPr>
            <w:tcW w:w="885" w:type="pct"/>
            <w:hideMark/>
          </w:tcPr>
          <w:p w14:paraId="5B6F4DAB" w14:textId="77777777" w:rsidR="00BD50A0" w:rsidRPr="00BD50A0" w:rsidRDefault="00BD50A0" w:rsidP="00BD50A0">
            <w:pPr>
              <w:jc w:val="both"/>
              <w:cnfStyle w:val="000000000000" w:firstRow="0" w:lastRow="0" w:firstColumn="0" w:lastColumn="0" w:oddVBand="0" w:evenVBand="0" w:oddHBand="0" w:evenHBand="0" w:firstRowFirstColumn="0" w:firstRowLastColumn="0" w:lastRowFirstColumn="0" w:lastRowLastColumn="0"/>
            </w:pPr>
            <w:r w:rsidRPr="00BD50A0">
              <w:t>Guaranteed Income</w:t>
            </w:r>
          </w:p>
        </w:tc>
        <w:tc>
          <w:tcPr>
            <w:tcW w:w="2106" w:type="pct"/>
            <w:hideMark/>
          </w:tcPr>
          <w:p w14:paraId="58037249" w14:textId="77777777" w:rsidR="00BD50A0" w:rsidRPr="00BD50A0" w:rsidRDefault="00BD50A0" w:rsidP="00BD50A0">
            <w:pPr>
              <w:jc w:val="both"/>
              <w:cnfStyle w:val="000000000000" w:firstRow="0" w:lastRow="0" w:firstColumn="0" w:lastColumn="0" w:oddVBand="0" w:evenVBand="0" w:oddHBand="0" w:evenHBand="0" w:firstRowFirstColumn="0" w:firstRowLastColumn="0" w:lastRowFirstColumn="0" w:lastRowLastColumn="0"/>
            </w:pPr>
            <w:r w:rsidRPr="00BD50A0">
              <w:rPr>
                <w:b/>
                <w:bCs/>
              </w:rPr>
              <w:t>Security</w:t>
            </w:r>
            <w:r w:rsidRPr="00BD50A0">
              <w:t>: Prevents asset erosion during emergencies and stops the scarcity mindset.</w:t>
            </w:r>
          </w:p>
        </w:tc>
      </w:tr>
      <w:tr w:rsidR="00BD50A0" w:rsidRPr="00BD50A0" w14:paraId="7FA460E0" w14:textId="77777777" w:rsidTr="00BD50A0">
        <w:tc>
          <w:tcPr>
            <w:cnfStyle w:val="001000000000" w:firstRow="0" w:lastRow="0" w:firstColumn="1" w:lastColumn="0" w:oddVBand="0" w:evenVBand="0" w:oddHBand="0" w:evenHBand="0" w:firstRowFirstColumn="0" w:firstRowLastColumn="0" w:lastRowFirstColumn="0" w:lastRowLastColumn="0"/>
            <w:tcW w:w="833" w:type="pct"/>
            <w:hideMark/>
          </w:tcPr>
          <w:p w14:paraId="2F79B502" w14:textId="77777777" w:rsidR="00BD50A0" w:rsidRPr="00BD50A0" w:rsidRDefault="00BD50A0" w:rsidP="00BD50A0">
            <w:pPr>
              <w:jc w:val="both"/>
            </w:pPr>
            <w:r w:rsidRPr="00BD50A0">
              <w:t>3. Wealth</w:t>
            </w:r>
          </w:p>
        </w:tc>
        <w:tc>
          <w:tcPr>
            <w:tcW w:w="1175" w:type="pct"/>
            <w:hideMark/>
          </w:tcPr>
          <w:p w14:paraId="6B21D894" w14:textId="77777777" w:rsidR="00BD50A0" w:rsidRPr="00BD50A0" w:rsidRDefault="00BD50A0" w:rsidP="00BD50A0">
            <w:pPr>
              <w:jc w:val="both"/>
              <w:cnfStyle w:val="000000000000" w:firstRow="0" w:lastRow="0" w:firstColumn="0" w:lastColumn="0" w:oddVBand="0" w:evenVBand="0" w:oddHBand="0" w:evenHBand="0" w:firstRowFirstColumn="0" w:firstRowLastColumn="0" w:lastRowFirstColumn="0" w:lastRowLastColumn="0"/>
            </w:pPr>
            <w:r w:rsidRPr="00BD50A0">
              <w:rPr>
                <w:b/>
                <w:bCs/>
              </w:rPr>
              <w:t>Wealth-Generating</w:t>
            </w:r>
          </w:p>
        </w:tc>
        <w:tc>
          <w:tcPr>
            <w:tcW w:w="885" w:type="pct"/>
            <w:hideMark/>
          </w:tcPr>
          <w:p w14:paraId="0C7E9137" w14:textId="77777777" w:rsidR="00BD50A0" w:rsidRPr="00BD50A0" w:rsidRDefault="00BD50A0" w:rsidP="00BD50A0">
            <w:pPr>
              <w:jc w:val="both"/>
              <w:cnfStyle w:val="000000000000" w:firstRow="0" w:lastRow="0" w:firstColumn="0" w:lastColumn="0" w:oddVBand="0" w:evenVBand="0" w:oddHBand="0" w:evenHBand="0" w:firstRowFirstColumn="0" w:firstRowLastColumn="0" w:lastRowFirstColumn="0" w:lastRowLastColumn="0"/>
            </w:pPr>
            <w:r w:rsidRPr="00BD50A0">
              <w:t>Baby Bonds</w:t>
            </w:r>
          </w:p>
        </w:tc>
        <w:tc>
          <w:tcPr>
            <w:tcW w:w="2106" w:type="pct"/>
            <w:hideMark/>
          </w:tcPr>
          <w:p w14:paraId="6E95B096" w14:textId="77777777" w:rsidR="00BD50A0" w:rsidRPr="00BD50A0" w:rsidRDefault="00BD50A0" w:rsidP="00BD50A0">
            <w:pPr>
              <w:jc w:val="both"/>
              <w:cnfStyle w:val="000000000000" w:firstRow="0" w:lastRow="0" w:firstColumn="0" w:lastColumn="0" w:oddVBand="0" w:evenVBand="0" w:oddHBand="0" w:evenHBand="0" w:firstRowFirstColumn="0" w:firstRowLastColumn="0" w:lastRowFirstColumn="0" w:lastRowLastColumn="0"/>
            </w:pPr>
            <w:r w:rsidRPr="00BD50A0">
              <w:rPr>
                <w:b/>
                <w:bCs/>
              </w:rPr>
              <w:t>Growth</w:t>
            </w:r>
            <w:r w:rsidRPr="00BD50A0">
              <w:t>: Provides capital endowments sufficient to reach the Structural Breakpoint.</w:t>
            </w:r>
          </w:p>
        </w:tc>
      </w:tr>
    </w:tbl>
    <w:p w14:paraId="0E159BC5" w14:textId="77777777" w:rsidR="00BD50A0" w:rsidRDefault="00BD50A0" w:rsidP="00BD50A0">
      <w:pPr>
        <w:spacing w:after="0" w:line="240" w:lineRule="auto"/>
        <w:jc w:val="both"/>
      </w:pPr>
    </w:p>
    <w:p w14:paraId="67104BCD" w14:textId="77777777" w:rsidR="00917E9E" w:rsidRDefault="00000000" w:rsidP="00BD50A0">
      <w:pPr>
        <w:spacing w:after="0" w:line="240" w:lineRule="auto"/>
        <w:jc w:val="both"/>
        <w:rPr>
          <w:b/>
          <w:bCs/>
          <w:color w:val="002060"/>
        </w:rPr>
      </w:pPr>
      <w:r w:rsidRPr="00446C17">
        <w:rPr>
          <w:b/>
          <w:bCs/>
          <w:color w:val="002060"/>
        </w:rPr>
        <w:t>Conclusion</w:t>
      </w:r>
    </w:p>
    <w:p w14:paraId="1990A980" w14:textId="77777777" w:rsidR="00BD50A0" w:rsidRPr="00446C17" w:rsidRDefault="00BD50A0" w:rsidP="00BD50A0">
      <w:pPr>
        <w:spacing w:after="0" w:line="240" w:lineRule="auto"/>
        <w:jc w:val="both"/>
        <w:rPr>
          <w:b/>
          <w:bCs/>
          <w:color w:val="002060"/>
        </w:rPr>
      </w:pPr>
    </w:p>
    <w:p w14:paraId="7738EC0F" w14:textId="77777777" w:rsidR="00917E9E" w:rsidRDefault="00000000" w:rsidP="00BD50A0">
      <w:pPr>
        <w:spacing w:after="0" w:line="240" w:lineRule="auto"/>
        <w:jc w:val="both"/>
      </w:pPr>
      <w:r>
        <w:t>Chapter 1 provides the empirical architecture for a social mobility revolution. By performing a formal autopsy on the Gravity Trap, it demonstrates that the stagnation of the American working class is not a failure of individual character or effort, but a mechanical failure of the economic engine itself. Accepting these findings requires policymakers to acknowledge that the government already spends billions on wealth-launching mechanisms (e.g., mortgage interest deductions), but these are currently reserved for those already in orbit.</w:t>
      </w:r>
    </w:p>
    <w:p w14:paraId="0EE17B56" w14:textId="77777777" w:rsidR="00BD50A0" w:rsidRDefault="00BD50A0" w:rsidP="00BD50A0">
      <w:pPr>
        <w:spacing w:after="0" w:line="240" w:lineRule="auto"/>
        <w:jc w:val="both"/>
      </w:pPr>
    </w:p>
    <w:p w14:paraId="5DC4ED90" w14:textId="77777777" w:rsidR="00917E9E" w:rsidRDefault="00000000" w:rsidP="00BD50A0">
      <w:pPr>
        <w:spacing w:after="0" w:line="240" w:lineRule="auto"/>
        <w:jc w:val="both"/>
      </w:pPr>
      <w:r>
        <w:t>To build a true meritocracy, we must repurpose these resources into an Integrated Capability System that provides the structural fuel—Inclusion, Income, and Wealth—required for personal effort to yield a return. The choice is no longer between unfettered markets and poverty management; it is between a permanent caste system and a society where every citizen has the functional capability to fly.</w:t>
      </w:r>
    </w:p>
    <w:p w14:paraId="66DA9FBA" w14:textId="77777777" w:rsidR="00917E9E" w:rsidRDefault="00000000" w:rsidP="00BD50A0">
      <w:pPr>
        <w:spacing w:after="0" w:line="240" w:lineRule="auto"/>
      </w:pPr>
      <w:r>
        <w:br/>
        <w:t>------------------------------</w:t>
      </w:r>
    </w:p>
    <w:p w14:paraId="6C2E8A6B" w14:textId="77777777" w:rsidR="00917E9E" w:rsidRDefault="00000000">
      <w:r>
        <w:rPr>
          <w:rFonts w:ascii="Arial" w:hAnsi="Arial"/>
          <w:i/>
          <w:color w:val="808080"/>
          <w:sz w:val="18"/>
        </w:rPr>
        <w:t>AI Disclosure Statement: This document utilized Google Gemini (2026 version) to harmonize research data into a cohesive visual brand identity. All statistical interpretations are derived from original research by William Elliott et al.</w:t>
      </w:r>
    </w:p>
    <w:sectPr w:rsidR="00917E9E"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21ECC" w14:textId="77777777" w:rsidR="009A20CA" w:rsidRDefault="009A20CA">
      <w:pPr>
        <w:spacing w:after="0" w:line="240" w:lineRule="auto"/>
      </w:pPr>
      <w:r>
        <w:separator/>
      </w:r>
    </w:p>
  </w:endnote>
  <w:endnote w:type="continuationSeparator" w:id="0">
    <w:p w14:paraId="33549EA9" w14:textId="77777777" w:rsidR="009A20CA" w:rsidRDefault="009A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1921" w14:textId="77777777" w:rsidR="00917E9E" w:rsidRDefault="00000000">
    <w:pPr>
      <w:pStyle w:val="Footer"/>
      <w:jc w:val="center"/>
    </w:pPr>
    <w:r>
      <w:rPr>
        <w:rFonts w:ascii="Arial" w:hAnsi="Arial"/>
        <w:i/>
        <w:color w:val="808080"/>
        <w:sz w:val="16"/>
      </w:rPr>
      <w:t>Occupy 2.0 Digital Archive | File: Policy Brief_Chpt.1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B0EFA" w14:textId="77777777" w:rsidR="009A20CA" w:rsidRDefault="009A20CA">
      <w:pPr>
        <w:spacing w:after="0" w:line="240" w:lineRule="auto"/>
      </w:pPr>
      <w:r>
        <w:separator/>
      </w:r>
    </w:p>
  </w:footnote>
  <w:footnote w:type="continuationSeparator" w:id="0">
    <w:p w14:paraId="7377E129" w14:textId="77777777" w:rsidR="009A20CA" w:rsidRDefault="009A2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01F5EFD"/>
    <w:multiLevelType w:val="hybridMultilevel"/>
    <w:tmpl w:val="A8BC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804221"/>
    <w:multiLevelType w:val="hybridMultilevel"/>
    <w:tmpl w:val="577A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045791">
    <w:abstractNumId w:val="8"/>
  </w:num>
  <w:num w:numId="2" w16cid:durableId="1403138560">
    <w:abstractNumId w:val="6"/>
  </w:num>
  <w:num w:numId="3" w16cid:durableId="1472745401">
    <w:abstractNumId w:val="5"/>
  </w:num>
  <w:num w:numId="4" w16cid:durableId="418335408">
    <w:abstractNumId w:val="4"/>
  </w:num>
  <w:num w:numId="5" w16cid:durableId="110828128">
    <w:abstractNumId w:val="7"/>
  </w:num>
  <w:num w:numId="6" w16cid:durableId="550311457">
    <w:abstractNumId w:val="3"/>
  </w:num>
  <w:num w:numId="7" w16cid:durableId="1361542072">
    <w:abstractNumId w:val="2"/>
  </w:num>
  <w:num w:numId="8" w16cid:durableId="125316496">
    <w:abstractNumId w:val="1"/>
  </w:num>
  <w:num w:numId="9" w16cid:durableId="899634606">
    <w:abstractNumId w:val="0"/>
  </w:num>
  <w:num w:numId="10" w16cid:durableId="1567644474">
    <w:abstractNumId w:val="10"/>
  </w:num>
  <w:num w:numId="11" w16cid:durableId="131868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3481"/>
    <w:rsid w:val="0015074B"/>
    <w:rsid w:val="0029639D"/>
    <w:rsid w:val="00326F90"/>
    <w:rsid w:val="00446C17"/>
    <w:rsid w:val="00917E9E"/>
    <w:rsid w:val="009A20CA"/>
    <w:rsid w:val="00AA1D8D"/>
    <w:rsid w:val="00B47730"/>
    <w:rsid w:val="00BD50A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C4FE3"/>
  <w14:defaultImageDpi w14:val="300"/>
  <w15:docId w15:val="{C83E19FF-AAF2-2741-98B0-BDFC6CD1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1Light">
    <w:name w:val="Grid Table 1 Light"/>
    <w:basedOn w:val="TableNormal"/>
    <w:uiPriority w:val="99"/>
    <w:rsid w:val="00446C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1101</Words>
  <Characters>6276</Characters>
  <Application>Microsoft Office Word</Application>
  <DocSecurity>0</DocSecurity>
  <Lines>125</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Elliott, William</cp:lastModifiedBy>
  <cp:revision>2</cp:revision>
  <dcterms:created xsi:type="dcterms:W3CDTF">2013-12-23T23:15:00Z</dcterms:created>
  <dcterms:modified xsi:type="dcterms:W3CDTF">2026-01-16T14:31:00Z</dcterms:modified>
  <cp:category/>
</cp:coreProperties>
</file>