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E6A4" w14:textId="77777777" w:rsidR="00302492" w:rsidRDefault="00000000" w:rsidP="001C4AE1">
      <w:pPr>
        <w:spacing w:after="0" w:line="240" w:lineRule="auto"/>
        <w:jc w:val="center"/>
      </w:pPr>
      <w:r>
        <w:rPr>
          <w:noProof/>
        </w:rPr>
        <w:drawing>
          <wp:inline distT="0" distB="0" distL="0" distR="0" wp14:anchorId="4A11003B" wp14:editId="0942B95E">
            <wp:extent cx="2743200" cy="149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upy_logo.png"/>
                    <pic:cNvPicPr/>
                  </pic:nvPicPr>
                  <pic:blipFill>
                    <a:blip r:embed="rId8"/>
                    <a:stretch>
                      <a:fillRect/>
                    </a:stretch>
                  </pic:blipFill>
                  <pic:spPr>
                    <a:xfrm>
                      <a:off x="0" y="0"/>
                      <a:ext cx="2743200" cy="1498600"/>
                    </a:xfrm>
                    <a:prstGeom prst="rect">
                      <a:avLst/>
                    </a:prstGeom>
                  </pic:spPr>
                </pic:pic>
              </a:graphicData>
            </a:graphic>
          </wp:inline>
        </w:drawing>
      </w:r>
    </w:p>
    <w:p w14:paraId="120AF7E6" w14:textId="77777777" w:rsidR="00302492" w:rsidRDefault="00000000" w:rsidP="001C4AE1">
      <w:pPr>
        <w:pStyle w:val="Title"/>
        <w:spacing w:after="0"/>
        <w:jc w:val="center"/>
      </w:pPr>
      <w:r>
        <w:rPr>
          <w:rFonts w:ascii="Arial" w:hAnsi="Arial"/>
          <w:b/>
          <w:color w:val="003366"/>
          <w:sz w:val="40"/>
        </w:rPr>
        <w:t>POLICY BRIEF CHPT.2</w:t>
      </w:r>
    </w:p>
    <w:p w14:paraId="0F1D9641" w14:textId="77777777" w:rsidR="001C4AE1" w:rsidRDefault="001C4AE1" w:rsidP="001C4AE1">
      <w:pPr>
        <w:spacing w:after="0" w:line="240" w:lineRule="auto"/>
        <w:jc w:val="both"/>
        <w:rPr>
          <w:b/>
          <w:bCs/>
          <w:color w:val="002060"/>
        </w:rPr>
      </w:pPr>
    </w:p>
    <w:p w14:paraId="49D4EF9F" w14:textId="635A0278" w:rsidR="00302492" w:rsidRDefault="00000000" w:rsidP="001C4AE1">
      <w:pPr>
        <w:spacing w:after="0" w:line="240" w:lineRule="auto"/>
        <w:jc w:val="both"/>
      </w:pPr>
      <w:r w:rsidRPr="001C4AE1">
        <w:rPr>
          <w:b/>
          <w:bCs/>
          <w:color w:val="002060"/>
        </w:rPr>
        <w:t>Policy Brief</w:t>
      </w:r>
      <w:r>
        <w:t>: The Fallacy of the Ladder and Shared Structural Exclusion</w:t>
      </w:r>
    </w:p>
    <w:p w14:paraId="2F3019C9" w14:textId="77777777" w:rsidR="001C4AE1" w:rsidRDefault="001C4AE1" w:rsidP="001C4AE1">
      <w:pPr>
        <w:spacing w:after="0" w:line="240" w:lineRule="auto"/>
        <w:jc w:val="both"/>
      </w:pPr>
    </w:p>
    <w:p w14:paraId="08F98207" w14:textId="77777777" w:rsidR="00302492" w:rsidRDefault="00000000" w:rsidP="001C4AE1">
      <w:pPr>
        <w:spacing w:after="0" w:line="240" w:lineRule="auto"/>
        <w:jc w:val="both"/>
      </w:pPr>
      <w:r w:rsidRPr="001C4AE1">
        <w:rPr>
          <w:b/>
          <w:bCs/>
          <w:color w:val="002060"/>
        </w:rPr>
        <w:t>Chapter 2</w:t>
      </w:r>
      <w:r>
        <w:t>: Beyond the Racial Wealth Gap: Structural Class Exclusion and the Case for a Social Mobility Revolution in America</w:t>
      </w:r>
    </w:p>
    <w:p w14:paraId="5A010E83" w14:textId="77777777" w:rsidR="001C4AE1" w:rsidRDefault="001C4AE1" w:rsidP="001C4AE1">
      <w:pPr>
        <w:spacing w:after="0" w:line="240" w:lineRule="auto"/>
        <w:jc w:val="both"/>
      </w:pPr>
    </w:p>
    <w:p w14:paraId="66FE0328" w14:textId="77777777" w:rsidR="00302492" w:rsidRDefault="00000000" w:rsidP="001C4AE1">
      <w:pPr>
        <w:spacing w:after="0" w:line="240" w:lineRule="auto"/>
        <w:jc w:val="both"/>
      </w:pPr>
      <w:r w:rsidRPr="001C4AE1">
        <w:rPr>
          <w:b/>
          <w:bCs/>
          <w:color w:val="002060"/>
        </w:rPr>
        <w:t>Executive Summary</w:t>
      </w:r>
      <w:r>
        <w:t>: The Chapter Claim</w:t>
      </w:r>
    </w:p>
    <w:p w14:paraId="57268BF1" w14:textId="77777777" w:rsidR="001C4AE1" w:rsidRDefault="001C4AE1" w:rsidP="001C4AE1">
      <w:pPr>
        <w:spacing w:after="0" w:line="240" w:lineRule="auto"/>
        <w:jc w:val="both"/>
      </w:pPr>
    </w:p>
    <w:p w14:paraId="39CC13B6" w14:textId="77777777" w:rsidR="00302492" w:rsidRDefault="00000000" w:rsidP="001C4AE1">
      <w:pPr>
        <w:spacing w:after="0" w:line="240" w:lineRule="auto"/>
        <w:jc w:val="both"/>
      </w:pPr>
      <w:r>
        <w:t>Chapter 2 performs a formal autopsy on the legislative choices and fiscal policies from 1981 to 2023 that systematically constructed a massive inter-class chasm. It argues that the American social contract was deliberately shifted from a foundation of wealth-building to a model of consumption-based poverty management. This transition effectively grounded the Bottom 80% of households by denying them Wealth-Generating Functioning, regardless of race, while optimizing the economic engine for the Top 20%.</w:t>
      </w:r>
    </w:p>
    <w:p w14:paraId="528FDEED" w14:textId="77777777" w:rsidR="001C4AE1" w:rsidRDefault="001C4AE1" w:rsidP="001C4AE1">
      <w:pPr>
        <w:spacing w:after="0" w:line="240" w:lineRule="auto"/>
        <w:jc w:val="both"/>
      </w:pPr>
    </w:p>
    <w:p w14:paraId="651D0275" w14:textId="77777777" w:rsidR="00302492" w:rsidRDefault="00000000" w:rsidP="001C4AE1">
      <w:pPr>
        <w:spacing w:after="0" w:line="240" w:lineRule="auto"/>
        <w:jc w:val="both"/>
      </w:pPr>
      <w:r>
        <w:t>The data reveals that for the working majority, the economic ladder is a fallacy; most households are mechanically anchored by depreciating assets and debt, while the elite achieve Escape Velocity through policy-provisioned tax advantages.</w:t>
      </w:r>
    </w:p>
    <w:p w14:paraId="04A983DD" w14:textId="77777777" w:rsidR="001C4AE1" w:rsidRDefault="001C4AE1" w:rsidP="001C4AE1">
      <w:pPr>
        <w:spacing w:after="0" w:line="240" w:lineRule="auto"/>
        <w:jc w:val="both"/>
      </w:pPr>
    </w:p>
    <w:p w14:paraId="24F43E70" w14:textId="77777777" w:rsidR="00302492" w:rsidRDefault="00000000" w:rsidP="001C4AE1">
      <w:pPr>
        <w:pStyle w:val="Heading2"/>
        <w:spacing w:before="0" w:line="240" w:lineRule="auto"/>
        <w:rPr>
          <w:rFonts w:ascii="Arial" w:hAnsi="Arial"/>
          <w:color w:val="002060"/>
        </w:rPr>
      </w:pPr>
      <w:r w:rsidRPr="001C4AE1">
        <w:rPr>
          <w:rFonts w:ascii="Arial" w:hAnsi="Arial"/>
          <w:color w:val="002060"/>
        </w:rPr>
        <w:t>I. Key Definitions: The Mechanics of Stagnation</w:t>
      </w:r>
    </w:p>
    <w:p w14:paraId="03841ADF" w14:textId="77777777" w:rsidR="001C4AE1" w:rsidRPr="001C4AE1" w:rsidRDefault="001C4AE1" w:rsidP="001C4AE1">
      <w:pPr>
        <w:spacing w:after="0" w:line="240" w:lineRule="auto"/>
      </w:pPr>
    </w:p>
    <w:p w14:paraId="490C12CC" w14:textId="77777777" w:rsidR="00302492" w:rsidRDefault="00000000" w:rsidP="001C4AE1">
      <w:pPr>
        <w:spacing w:after="0" w:line="240" w:lineRule="auto"/>
        <w:jc w:val="both"/>
      </w:pPr>
      <w:r>
        <w:t>To understand how the chasm was constructed, the chapter utilizes specific mechanical diagnostic terms:</w:t>
      </w:r>
    </w:p>
    <w:p w14:paraId="0EE2A75D" w14:textId="77777777" w:rsidR="001C4AE1" w:rsidRDefault="001C4AE1" w:rsidP="001C4AE1">
      <w:pPr>
        <w:spacing w:after="0" w:line="240" w:lineRule="auto"/>
        <w:jc w:val="both"/>
      </w:pPr>
    </w:p>
    <w:p w14:paraId="6F39FA37" w14:textId="77777777" w:rsidR="00302492" w:rsidRDefault="00000000" w:rsidP="001C4AE1">
      <w:pPr>
        <w:pStyle w:val="ListParagraph"/>
        <w:numPr>
          <w:ilvl w:val="0"/>
          <w:numId w:val="10"/>
        </w:numPr>
        <w:spacing w:after="0" w:line="240" w:lineRule="auto"/>
        <w:jc w:val="both"/>
      </w:pPr>
      <w:r w:rsidRPr="001C4AE1">
        <w:rPr>
          <w:b/>
          <w:bCs/>
          <w:color w:val="002060"/>
        </w:rPr>
        <w:t>Structural Break (1981)</w:t>
      </w:r>
      <w:r>
        <w:t>: The historical inflection point marked by the Economic Recovery Tax Act (ERTA), which removed the governor on elite wealth accumulation by slashing top marginal and capital gains tax rates.</w:t>
      </w:r>
    </w:p>
    <w:p w14:paraId="2B493976" w14:textId="77777777" w:rsidR="001C4AE1" w:rsidRDefault="001C4AE1" w:rsidP="001C4AE1">
      <w:pPr>
        <w:pStyle w:val="ListParagraph"/>
        <w:spacing w:after="0" w:line="240" w:lineRule="auto"/>
        <w:jc w:val="both"/>
      </w:pPr>
    </w:p>
    <w:p w14:paraId="1E411594" w14:textId="77777777" w:rsidR="00302492" w:rsidRDefault="00000000" w:rsidP="001C4AE1">
      <w:pPr>
        <w:pStyle w:val="ListParagraph"/>
        <w:numPr>
          <w:ilvl w:val="0"/>
          <w:numId w:val="10"/>
        </w:numPr>
        <w:spacing w:after="0" w:line="240" w:lineRule="auto"/>
        <w:jc w:val="both"/>
      </w:pPr>
      <w:r w:rsidRPr="001C4AE1">
        <w:rPr>
          <w:b/>
          <w:bCs/>
          <w:color w:val="002060"/>
        </w:rPr>
        <w:t>Consumption over Assets</w:t>
      </w:r>
      <w:r>
        <w:t>: A policy pattern where the state manages survival through temporary income supports (e.g., SNAP, stimulus checks) rather than providing the capital required for growth.</w:t>
      </w:r>
    </w:p>
    <w:p w14:paraId="51DF3F4D" w14:textId="77777777" w:rsidR="001C4AE1" w:rsidRDefault="001C4AE1" w:rsidP="001C4AE1">
      <w:pPr>
        <w:pStyle w:val="ListParagraph"/>
        <w:spacing w:after="0" w:line="240" w:lineRule="auto"/>
        <w:jc w:val="both"/>
      </w:pPr>
    </w:p>
    <w:p w14:paraId="41E5A382" w14:textId="77777777" w:rsidR="00302492" w:rsidRDefault="00000000" w:rsidP="001C4AE1">
      <w:pPr>
        <w:pStyle w:val="ListParagraph"/>
        <w:numPr>
          <w:ilvl w:val="0"/>
          <w:numId w:val="10"/>
        </w:numPr>
        <w:spacing w:after="0" w:line="240" w:lineRule="auto"/>
        <w:jc w:val="both"/>
      </w:pPr>
      <w:r w:rsidRPr="001C4AE1">
        <w:rPr>
          <w:b/>
          <w:bCs/>
          <w:color w:val="002060"/>
        </w:rPr>
        <w:t>Vehicle Trap</w:t>
      </w:r>
      <w:r>
        <w:t>: A mechanical state where the primary asset of the poor (the automobile) depreciates in value while consuming constant cash flow for maintenance and fuel, acting as a leak in the household ledger.</w:t>
      </w:r>
    </w:p>
    <w:p w14:paraId="211CAF4E" w14:textId="77777777" w:rsidR="001C4AE1" w:rsidRDefault="001C4AE1" w:rsidP="001C4AE1">
      <w:pPr>
        <w:pStyle w:val="ListParagraph"/>
        <w:spacing w:after="0" w:line="240" w:lineRule="auto"/>
        <w:jc w:val="both"/>
      </w:pPr>
    </w:p>
    <w:p w14:paraId="21BE9CC7" w14:textId="77777777" w:rsidR="00302492" w:rsidRDefault="00000000" w:rsidP="001C4AE1">
      <w:pPr>
        <w:pStyle w:val="ListParagraph"/>
        <w:numPr>
          <w:ilvl w:val="0"/>
          <w:numId w:val="10"/>
        </w:numPr>
        <w:spacing w:after="0" w:line="240" w:lineRule="auto"/>
        <w:jc w:val="both"/>
      </w:pPr>
      <w:r w:rsidRPr="001C4AE1">
        <w:rPr>
          <w:b/>
          <w:bCs/>
          <w:color w:val="002060"/>
        </w:rPr>
        <w:lastRenderedPageBreak/>
        <w:t>Hollow Middle</w:t>
      </w:r>
      <w:r>
        <w:t>: A state where middle-class households (Q3) possess the posture of security (e.g., homeownership) but lack the liquid Analytical Cushion needed to survive economic shocks.</w:t>
      </w:r>
    </w:p>
    <w:p w14:paraId="272CC3DF" w14:textId="77777777" w:rsidR="001C4AE1" w:rsidRDefault="001C4AE1" w:rsidP="001C4AE1">
      <w:pPr>
        <w:pStyle w:val="ListParagraph"/>
        <w:spacing w:after="0" w:line="240" w:lineRule="auto"/>
        <w:jc w:val="both"/>
      </w:pPr>
    </w:p>
    <w:p w14:paraId="28913D02" w14:textId="77777777" w:rsidR="00302492" w:rsidRDefault="00000000" w:rsidP="001C4AE1">
      <w:pPr>
        <w:pStyle w:val="ListParagraph"/>
        <w:numPr>
          <w:ilvl w:val="0"/>
          <w:numId w:val="10"/>
        </w:numPr>
        <w:spacing w:after="0" w:line="240" w:lineRule="auto"/>
        <w:jc w:val="both"/>
      </w:pPr>
      <w:r w:rsidRPr="001C4AE1">
        <w:rPr>
          <w:b/>
          <w:bCs/>
          <w:color w:val="002060"/>
        </w:rPr>
        <w:t>Cliff Effect (Poverty Trap)</w:t>
      </w:r>
      <w:r>
        <w:t>: The phenomenon where temporary supports (like the expanded Child Tax Credit) lift families just above the poverty line, only for them to crash back into insecurity once the support expires.</w:t>
      </w:r>
    </w:p>
    <w:p w14:paraId="125FC014" w14:textId="77777777" w:rsidR="001C4AE1" w:rsidRDefault="001C4AE1" w:rsidP="001C4AE1">
      <w:pPr>
        <w:pStyle w:val="ListParagraph"/>
        <w:spacing w:after="0" w:line="240" w:lineRule="auto"/>
        <w:jc w:val="both"/>
      </w:pPr>
    </w:p>
    <w:p w14:paraId="66DE50D6" w14:textId="77777777" w:rsidR="00302492" w:rsidRDefault="00000000" w:rsidP="001C4AE1">
      <w:pPr>
        <w:pStyle w:val="Heading2"/>
        <w:spacing w:before="0" w:line="240" w:lineRule="auto"/>
        <w:rPr>
          <w:rFonts w:ascii="Arial" w:hAnsi="Arial"/>
          <w:color w:val="002060"/>
        </w:rPr>
      </w:pPr>
      <w:r w:rsidRPr="001C4AE1">
        <w:rPr>
          <w:rFonts w:ascii="Arial" w:hAnsi="Arial"/>
          <w:color w:val="002060"/>
        </w:rPr>
        <w:t>II. Key Statistics and Visual Findings</w:t>
      </w:r>
    </w:p>
    <w:p w14:paraId="65DFC766" w14:textId="77777777" w:rsidR="001C4AE1" w:rsidRPr="001C4AE1" w:rsidRDefault="001C4AE1" w:rsidP="001C4AE1">
      <w:pPr>
        <w:spacing w:after="0" w:line="240" w:lineRule="auto"/>
      </w:pPr>
    </w:p>
    <w:p w14:paraId="79D01D25" w14:textId="77777777" w:rsidR="00302492" w:rsidRDefault="00000000" w:rsidP="001C4AE1">
      <w:pPr>
        <w:spacing w:after="0" w:line="240" w:lineRule="auto"/>
        <w:jc w:val="both"/>
      </w:pPr>
      <w:r>
        <w:t>The following metrics quantify the divergence between those in orbit and those trapped on the ground:</w:t>
      </w:r>
    </w:p>
    <w:p w14:paraId="68C7C213" w14:textId="77777777" w:rsidR="001C4AE1" w:rsidRDefault="001C4AE1" w:rsidP="001C4AE1">
      <w:pPr>
        <w:spacing w:after="0" w:line="240" w:lineRule="auto"/>
        <w:jc w:val="both"/>
      </w:pPr>
    </w:p>
    <w:p w14:paraId="3FFB1ADD" w14:textId="77777777" w:rsidR="00302492" w:rsidRDefault="00000000" w:rsidP="001C4AE1">
      <w:pPr>
        <w:pStyle w:val="ListParagraph"/>
        <w:numPr>
          <w:ilvl w:val="0"/>
          <w:numId w:val="11"/>
        </w:numPr>
        <w:spacing w:after="0" w:line="240" w:lineRule="auto"/>
        <w:jc w:val="both"/>
      </w:pPr>
      <w:r w:rsidRPr="001C4AE1">
        <w:rPr>
          <w:b/>
          <w:bCs/>
          <w:color w:val="002060"/>
        </w:rPr>
        <w:t>The 150-Point Gap</w:t>
      </w:r>
      <w:r>
        <w:t>: Since 1980, the real cost of a college degree rose by 169%, while real earnings for young workers grew by only 19%. This creates a Debt Anchor that prevents education from functioning as a wealth-building tool.</w:t>
      </w:r>
    </w:p>
    <w:p w14:paraId="1B8E9777" w14:textId="77777777" w:rsidR="001C4AE1" w:rsidRDefault="001C4AE1" w:rsidP="001C4AE1">
      <w:pPr>
        <w:pStyle w:val="ListParagraph"/>
        <w:spacing w:after="0" w:line="240" w:lineRule="auto"/>
        <w:jc w:val="both"/>
      </w:pPr>
    </w:p>
    <w:p w14:paraId="1F4264E2" w14:textId="77777777" w:rsidR="00302492" w:rsidRDefault="00000000" w:rsidP="001C4AE1">
      <w:pPr>
        <w:pStyle w:val="ListParagraph"/>
        <w:numPr>
          <w:ilvl w:val="0"/>
          <w:numId w:val="11"/>
        </w:numPr>
        <w:spacing w:after="0" w:line="240" w:lineRule="auto"/>
        <w:jc w:val="both"/>
      </w:pPr>
      <w:r w:rsidRPr="001C4AE1">
        <w:rPr>
          <w:b/>
          <w:bCs/>
          <w:color w:val="002060"/>
        </w:rPr>
        <w:t>92% Vehicle Concentration</w:t>
      </w:r>
      <w:r>
        <w:t>: Even as Black families climb to the working-class rung (Q2), 92% of their gross wealth remains trapped in vehicles—assets that cost money to hold rather than generating interest.</w:t>
      </w:r>
    </w:p>
    <w:p w14:paraId="21885797" w14:textId="77777777" w:rsidR="001C4AE1" w:rsidRDefault="001C4AE1" w:rsidP="001C4AE1">
      <w:pPr>
        <w:pStyle w:val="ListParagraph"/>
        <w:spacing w:after="0" w:line="240" w:lineRule="auto"/>
        <w:jc w:val="both"/>
      </w:pPr>
    </w:p>
    <w:p w14:paraId="5124E859" w14:textId="77777777" w:rsidR="00302492" w:rsidRDefault="00000000" w:rsidP="001C4AE1">
      <w:pPr>
        <w:pStyle w:val="ListParagraph"/>
        <w:numPr>
          <w:ilvl w:val="0"/>
          <w:numId w:val="11"/>
        </w:numPr>
        <w:spacing w:after="0" w:line="240" w:lineRule="auto"/>
        <w:jc w:val="both"/>
      </w:pPr>
      <w:r w:rsidRPr="001C4AE1">
        <w:rPr>
          <w:b/>
          <w:bCs/>
          <w:color w:val="002060"/>
        </w:rPr>
        <w:t>The $200 Liquidity Crisis</w:t>
      </w:r>
      <w:r>
        <w:t>: While White middle-class households (Q3) hold a $25,000 liquid buffer, Black Q3 households hold a median of only $200 in liquid savings, leaving them structurally brittle.</w:t>
      </w:r>
    </w:p>
    <w:p w14:paraId="49F258A3" w14:textId="77777777" w:rsidR="001C4AE1" w:rsidRDefault="001C4AE1" w:rsidP="001C4AE1">
      <w:pPr>
        <w:pStyle w:val="ListParagraph"/>
        <w:spacing w:after="0" w:line="240" w:lineRule="auto"/>
        <w:jc w:val="both"/>
      </w:pPr>
    </w:p>
    <w:p w14:paraId="0FF28BA8" w14:textId="77777777" w:rsidR="00302492" w:rsidRDefault="00000000" w:rsidP="001C4AE1">
      <w:pPr>
        <w:pStyle w:val="ListParagraph"/>
        <w:numPr>
          <w:ilvl w:val="0"/>
          <w:numId w:val="11"/>
        </w:numPr>
        <w:spacing w:after="0" w:line="240" w:lineRule="auto"/>
        <w:jc w:val="both"/>
      </w:pPr>
      <w:r w:rsidRPr="001C4AE1">
        <w:rPr>
          <w:b/>
          <w:bCs/>
          <w:color w:val="002060"/>
        </w:rPr>
        <w:t>Post-1981 Wealth Surge</w:t>
      </w:r>
      <w:r>
        <w:t>: Following the 1981 tax cuts, the wealth Gini coefficient (measuring inequality) began a sharp, uninterrupted ascent, breaking past 0.82 by the end of the decade.</w:t>
      </w:r>
    </w:p>
    <w:p w14:paraId="6BE63C42" w14:textId="77777777" w:rsidR="001C4AE1" w:rsidRDefault="001C4AE1" w:rsidP="001C4AE1">
      <w:pPr>
        <w:pStyle w:val="ListParagraph"/>
        <w:spacing w:after="0" w:line="240" w:lineRule="auto"/>
        <w:jc w:val="both"/>
      </w:pPr>
    </w:p>
    <w:p w14:paraId="66E46008" w14:textId="77777777" w:rsidR="00302492" w:rsidRDefault="00000000" w:rsidP="001C4AE1">
      <w:pPr>
        <w:pStyle w:val="ListParagraph"/>
        <w:numPr>
          <w:ilvl w:val="0"/>
          <w:numId w:val="11"/>
        </w:numPr>
        <w:spacing w:after="0" w:line="240" w:lineRule="auto"/>
        <w:jc w:val="both"/>
      </w:pPr>
      <w:r w:rsidRPr="001C4AE1">
        <w:rPr>
          <w:b/>
          <w:bCs/>
          <w:color w:val="002060"/>
        </w:rPr>
        <w:t>11% vs. 95% Exclusion at Q4</w:t>
      </w:r>
      <w:r>
        <w:t>: At the upper-middle-class level (Bottom 80%), White households are only 11% excluded from the middle-class standard, whereas Black households remain 95% excluded, proving that the Race Tax negates class position for the Black majority.</w:t>
      </w:r>
    </w:p>
    <w:p w14:paraId="4E7D692E" w14:textId="77777777" w:rsidR="001C4AE1" w:rsidRDefault="001C4AE1" w:rsidP="001C4AE1">
      <w:pPr>
        <w:pStyle w:val="ListParagraph"/>
        <w:spacing w:after="0" w:line="240" w:lineRule="auto"/>
        <w:jc w:val="both"/>
      </w:pPr>
    </w:p>
    <w:p w14:paraId="6244EEFE" w14:textId="77777777" w:rsidR="00302492" w:rsidRDefault="00000000" w:rsidP="001C4AE1">
      <w:pPr>
        <w:pStyle w:val="Heading2"/>
        <w:spacing w:before="0" w:line="240" w:lineRule="auto"/>
        <w:rPr>
          <w:rFonts w:ascii="Arial" w:hAnsi="Arial"/>
          <w:color w:val="002060"/>
        </w:rPr>
      </w:pPr>
      <w:r w:rsidRPr="001C4AE1">
        <w:rPr>
          <w:rFonts w:ascii="Arial" w:hAnsi="Arial"/>
          <w:color w:val="002060"/>
        </w:rPr>
        <w:t>III. The Fiscal Architecture of the Chasm</w:t>
      </w:r>
    </w:p>
    <w:p w14:paraId="7D20D150" w14:textId="77777777" w:rsidR="001C4AE1" w:rsidRPr="001C4AE1" w:rsidRDefault="001C4AE1" w:rsidP="001C4AE1">
      <w:pPr>
        <w:spacing w:after="0" w:line="240" w:lineRule="auto"/>
      </w:pPr>
    </w:p>
    <w:p w14:paraId="0991692F" w14:textId="77777777" w:rsidR="00302492" w:rsidRDefault="00000000" w:rsidP="001C4AE1">
      <w:pPr>
        <w:spacing w:after="0" w:line="240" w:lineRule="auto"/>
        <w:jc w:val="both"/>
      </w:pPr>
      <w:r>
        <w:t>The chasm was not a natural market outcome but a programmed result of specific policy shocks that optimized the engine for the elite while grounding the majority.</w:t>
      </w:r>
    </w:p>
    <w:p w14:paraId="597EAA68" w14:textId="77777777" w:rsidR="001C4AE1" w:rsidRDefault="001C4AE1" w:rsidP="001C4AE1">
      <w:pPr>
        <w:spacing w:after="0" w:line="240" w:lineRule="auto"/>
        <w:jc w:val="both"/>
      </w:pPr>
    </w:p>
    <w:p w14:paraId="2A7CDA8F" w14:textId="77777777" w:rsidR="00302492" w:rsidRDefault="00000000" w:rsidP="001C4AE1">
      <w:pPr>
        <w:spacing w:after="0" w:line="240" w:lineRule="auto"/>
        <w:jc w:val="both"/>
      </w:pPr>
      <w:r w:rsidRPr="001C4AE1">
        <w:rPr>
          <w:b/>
          <w:bCs/>
          <w:color w:val="002060"/>
        </w:rPr>
        <w:t>Table 1</w:t>
      </w:r>
      <w:r>
        <w:t>: Major Policy Drivers of Inequality (1981–2023)</w:t>
      </w:r>
    </w:p>
    <w:tbl>
      <w:tblPr>
        <w:tblStyle w:val="GridTable1Light"/>
        <w:tblW w:w="0" w:type="auto"/>
        <w:tblLook w:val="04A0" w:firstRow="1" w:lastRow="0" w:firstColumn="1" w:lastColumn="0" w:noHBand="0" w:noVBand="1"/>
      </w:tblPr>
      <w:tblGrid>
        <w:gridCol w:w="965"/>
        <w:gridCol w:w="1335"/>
        <w:gridCol w:w="3023"/>
        <w:gridCol w:w="3307"/>
      </w:tblGrid>
      <w:tr w:rsidR="001C4AE1" w:rsidRPr="001C4AE1" w14:paraId="2333A08C" w14:textId="77777777" w:rsidTr="00887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AB3B5F" w14:textId="77777777" w:rsidR="001C4AE1" w:rsidRPr="001C4AE1" w:rsidRDefault="001C4AE1" w:rsidP="001C4AE1">
            <w:pPr>
              <w:jc w:val="both"/>
            </w:pPr>
            <w:r w:rsidRPr="001C4AE1">
              <w:t>Period</w:t>
            </w:r>
          </w:p>
        </w:tc>
        <w:tc>
          <w:tcPr>
            <w:tcW w:w="0" w:type="auto"/>
            <w:hideMark/>
          </w:tcPr>
          <w:p w14:paraId="1711A306" w14:textId="77777777" w:rsidR="001C4AE1" w:rsidRPr="001C4AE1" w:rsidRDefault="001C4AE1" w:rsidP="001C4AE1">
            <w:pPr>
              <w:jc w:val="both"/>
              <w:cnfStyle w:val="100000000000" w:firstRow="1" w:lastRow="0" w:firstColumn="0" w:lastColumn="0" w:oddVBand="0" w:evenVBand="0" w:oddHBand="0" w:evenHBand="0" w:firstRowFirstColumn="0" w:firstRowLastColumn="0" w:lastRowFirstColumn="0" w:lastRowLastColumn="0"/>
            </w:pPr>
            <w:r w:rsidRPr="001C4AE1">
              <w:t>Policy Event</w:t>
            </w:r>
          </w:p>
        </w:tc>
        <w:tc>
          <w:tcPr>
            <w:tcW w:w="0" w:type="auto"/>
            <w:hideMark/>
          </w:tcPr>
          <w:p w14:paraId="1AA7EC3B" w14:textId="77777777" w:rsidR="001C4AE1" w:rsidRPr="001C4AE1" w:rsidRDefault="001C4AE1" w:rsidP="001C4AE1">
            <w:pPr>
              <w:jc w:val="both"/>
              <w:cnfStyle w:val="100000000000" w:firstRow="1" w:lastRow="0" w:firstColumn="0" w:lastColumn="0" w:oddVBand="0" w:evenVBand="0" w:oddHBand="0" w:evenHBand="0" w:firstRowFirstColumn="0" w:firstRowLastColumn="0" w:lastRowFirstColumn="0" w:lastRowLastColumn="0"/>
            </w:pPr>
            <w:r w:rsidRPr="001C4AE1">
              <w:t>Impact on the Elite (Top 20%)</w:t>
            </w:r>
          </w:p>
        </w:tc>
        <w:tc>
          <w:tcPr>
            <w:tcW w:w="0" w:type="auto"/>
            <w:hideMark/>
          </w:tcPr>
          <w:p w14:paraId="371E5F1D" w14:textId="77777777" w:rsidR="001C4AE1" w:rsidRPr="001C4AE1" w:rsidRDefault="001C4AE1" w:rsidP="001C4AE1">
            <w:pPr>
              <w:jc w:val="both"/>
              <w:cnfStyle w:val="100000000000" w:firstRow="1" w:lastRow="0" w:firstColumn="0" w:lastColumn="0" w:oddVBand="0" w:evenVBand="0" w:oddHBand="0" w:evenHBand="0" w:firstRowFirstColumn="0" w:firstRowLastColumn="0" w:lastRowFirstColumn="0" w:lastRowLastColumn="0"/>
            </w:pPr>
            <w:r w:rsidRPr="001C4AE1">
              <w:t>Impact on the Grounded (Bottom 80%)</w:t>
            </w:r>
          </w:p>
        </w:tc>
      </w:tr>
      <w:tr w:rsidR="001C4AE1" w:rsidRPr="001C4AE1" w14:paraId="75A0B6E3"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0EA2D981" w14:textId="77777777" w:rsidR="001C4AE1" w:rsidRPr="001C4AE1" w:rsidRDefault="001C4AE1" w:rsidP="001C4AE1">
            <w:pPr>
              <w:jc w:val="both"/>
            </w:pPr>
            <w:r w:rsidRPr="001C4AE1">
              <w:t>1981–89</w:t>
            </w:r>
          </w:p>
        </w:tc>
        <w:tc>
          <w:tcPr>
            <w:tcW w:w="0" w:type="auto"/>
            <w:hideMark/>
          </w:tcPr>
          <w:p w14:paraId="187ED7A6" w14:textId="77777777" w:rsidR="001C4AE1" w:rsidRPr="001C4AE1" w:rsidRDefault="001C4AE1" w:rsidP="001C4AE1">
            <w:pPr>
              <w:jc w:val="both"/>
              <w:cnfStyle w:val="000000000000" w:firstRow="0" w:lastRow="0" w:firstColumn="0" w:lastColumn="0" w:oddVBand="0" w:evenVBand="0" w:oddHBand="0" w:evenHBand="0" w:firstRowFirstColumn="0" w:firstRowLastColumn="0" w:lastRowFirstColumn="0" w:lastRowLastColumn="0"/>
            </w:pPr>
            <w:r w:rsidRPr="001C4AE1">
              <w:rPr>
                <w:b/>
                <w:bCs/>
              </w:rPr>
              <w:t>ERTA 1981</w:t>
            </w:r>
          </w:p>
        </w:tc>
        <w:tc>
          <w:tcPr>
            <w:tcW w:w="0" w:type="auto"/>
            <w:hideMark/>
          </w:tcPr>
          <w:p w14:paraId="5523AE1B"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r w:rsidRPr="001C4AE1">
              <w:t>Slashed top rates; removed the governor on elite accumulation.</w:t>
            </w:r>
          </w:p>
        </w:tc>
        <w:tc>
          <w:tcPr>
            <w:tcW w:w="0" w:type="auto"/>
            <w:hideMark/>
          </w:tcPr>
          <w:p w14:paraId="54DB217E"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r w:rsidRPr="001C4AE1">
              <w:t>Shifted welfare from asset-building to short-term consumption.</w:t>
            </w:r>
          </w:p>
        </w:tc>
      </w:tr>
      <w:tr w:rsidR="001C4AE1" w:rsidRPr="001C4AE1" w14:paraId="3BDC1344"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319513AF" w14:textId="77777777" w:rsidR="001C4AE1" w:rsidRPr="001C4AE1" w:rsidRDefault="001C4AE1" w:rsidP="001C4AE1">
            <w:pPr>
              <w:jc w:val="both"/>
            </w:pPr>
            <w:r w:rsidRPr="001C4AE1">
              <w:t>1990–94</w:t>
            </w:r>
          </w:p>
        </w:tc>
        <w:tc>
          <w:tcPr>
            <w:tcW w:w="0" w:type="auto"/>
            <w:hideMark/>
          </w:tcPr>
          <w:p w14:paraId="3F20E5BC" w14:textId="77777777" w:rsidR="001C4AE1" w:rsidRPr="001C4AE1" w:rsidRDefault="001C4AE1" w:rsidP="001C4AE1">
            <w:pPr>
              <w:jc w:val="both"/>
              <w:cnfStyle w:val="000000000000" w:firstRow="0" w:lastRow="0" w:firstColumn="0" w:lastColumn="0" w:oddVBand="0" w:evenVBand="0" w:oddHBand="0" w:evenHBand="0" w:firstRowFirstColumn="0" w:firstRowLastColumn="0" w:lastRowFirstColumn="0" w:lastRowLastColumn="0"/>
            </w:pPr>
            <w:r w:rsidRPr="001C4AE1">
              <w:rPr>
                <w:b/>
                <w:bCs/>
              </w:rPr>
              <w:t>PRWORA 1996</w:t>
            </w:r>
          </w:p>
        </w:tc>
        <w:tc>
          <w:tcPr>
            <w:tcW w:w="0" w:type="auto"/>
            <w:hideMark/>
          </w:tcPr>
          <w:p w14:paraId="6C1A29DF"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r w:rsidRPr="001C4AE1">
              <w:t>Continued asset protection through recessionary periods.</w:t>
            </w:r>
          </w:p>
        </w:tc>
        <w:tc>
          <w:tcPr>
            <w:tcW w:w="0" w:type="auto"/>
            <w:hideMark/>
          </w:tcPr>
          <w:p w14:paraId="42C54247"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r w:rsidRPr="001C4AE1">
              <w:t xml:space="preserve">Imposed strict asset limits on </w:t>
            </w:r>
            <w:proofErr w:type="gramStart"/>
            <w:r w:rsidRPr="001C4AE1">
              <w:t>aid;</w:t>
            </w:r>
            <w:proofErr w:type="gramEnd"/>
            <w:r w:rsidRPr="001C4AE1">
              <w:t xml:space="preserve"> trapped families in survival cycles.</w:t>
            </w:r>
          </w:p>
          <w:p w14:paraId="248C77C9"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p>
        </w:tc>
      </w:tr>
      <w:tr w:rsidR="001C4AE1" w:rsidRPr="001C4AE1" w14:paraId="1411D761"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04DBE8DB" w14:textId="77777777" w:rsidR="001C4AE1" w:rsidRPr="001C4AE1" w:rsidRDefault="001C4AE1" w:rsidP="001C4AE1">
            <w:pPr>
              <w:jc w:val="both"/>
            </w:pPr>
            <w:r w:rsidRPr="001C4AE1">
              <w:t>2000–</w:t>
            </w:r>
            <w:r w:rsidRPr="001C4AE1">
              <w:lastRenderedPageBreak/>
              <w:t>09</w:t>
            </w:r>
          </w:p>
        </w:tc>
        <w:tc>
          <w:tcPr>
            <w:tcW w:w="0" w:type="auto"/>
            <w:hideMark/>
          </w:tcPr>
          <w:p w14:paraId="0380C22C" w14:textId="77777777" w:rsidR="001C4AE1" w:rsidRPr="001C4AE1" w:rsidRDefault="001C4AE1" w:rsidP="001C4AE1">
            <w:pPr>
              <w:jc w:val="both"/>
              <w:cnfStyle w:val="000000000000" w:firstRow="0" w:lastRow="0" w:firstColumn="0" w:lastColumn="0" w:oddVBand="0" w:evenVBand="0" w:oddHBand="0" w:evenHBand="0" w:firstRowFirstColumn="0" w:firstRowLastColumn="0" w:lastRowFirstColumn="0" w:lastRowLastColumn="0"/>
            </w:pPr>
            <w:r w:rsidRPr="001C4AE1">
              <w:rPr>
                <w:b/>
                <w:bCs/>
              </w:rPr>
              <w:lastRenderedPageBreak/>
              <w:t xml:space="preserve">Bush Tax </w:t>
            </w:r>
            <w:r w:rsidRPr="001C4AE1">
              <w:rPr>
                <w:b/>
                <w:bCs/>
              </w:rPr>
              <w:lastRenderedPageBreak/>
              <w:t>Cuts</w:t>
            </w:r>
          </w:p>
        </w:tc>
        <w:tc>
          <w:tcPr>
            <w:tcW w:w="0" w:type="auto"/>
            <w:hideMark/>
          </w:tcPr>
          <w:p w14:paraId="7DA5D6B1"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r w:rsidRPr="001C4AE1">
              <w:lastRenderedPageBreak/>
              <w:t xml:space="preserve">Capital gains cuts prioritized </w:t>
            </w:r>
            <w:r w:rsidRPr="001C4AE1">
              <w:lastRenderedPageBreak/>
              <w:t>equity gains over labor income.</w:t>
            </w:r>
          </w:p>
        </w:tc>
        <w:tc>
          <w:tcPr>
            <w:tcW w:w="0" w:type="auto"/>
            <w:hideMark/>
          </w:tcPr>
          <w:p w14:paraId="5E2A33CB"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r w:rsidRPr="001C4AE1">
              <w:lastRenderedPageBreak/>
              <w:t xml:space="preserve">Low/middle wealth stripped by </w:t>
            </w:r>
            <w:r w:rsidRPr="001C4AE1">
              <w:lastRenderedPageBreak/>
              <w:t>the housing crash and predatory lending.</w:t>
            </w:r>
          </w:p>
        </w:tc>
      </w:tr>
      <w:tr w:rsidR="001C4AE1" w:rsidRPr="001C4AE1" w14:paraId="2563F923"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0B80558B" w14:textId="77777777" w:rsidR="001C4AE1" w:rsidRPr="001C4AE1" w:rsidRDefault="001C4AE1" w:rsidP="001C4AE1">
            <w:pPr>
              <w:jc w:val="both"/>
            </w:pPr>
            <w:r w:rsidRPr="001C4AE1">
              <w:lastRenderedPageBreak/>
              <w:t>2017–21</w:t>
            </w:r>
          </w:p>
        </w:tc>
        <w:tc>
          <w:tcPr>
            <w:tcW w:w="0" w:type="auto"/>
            <w:hideMark/>
          </w:tcPr>
          <w:p w14:paraId="555E7CE7" w14:textId="77777777" w:rsidR="001C4AE1" w:rsidRPr="001C4AE1" w:rsidRDefault="001C4AE1" w:rsidP="001C4AE1">
            <w:pPr>
              <w:jc w:val="both"/>
              <w:cnfStyle w:val="000000000000" w:firstRow="0" w:lastRow="0" w:firstColumn="0" w:lastColumn="0" w:oddVBand="0" w:evenVBand="0" w:oddHBand="0" w:evenHBand="0" w:firstRowFirstColumn="0" w:firstRowLastColumn="0" w:lastRowFirstColumn="0" w:lastRowLastColumn="0"/>
            </w:pPr>
            <w:r w:rsidRPr="001C4AE1">
              <w:rPr>
                <w:b/>
                <w:bCs/>
              </w:rPr>
              <w:t>TCJA (2017)</w:t>
            </w:r>
          </w:p>
        </w:tc>
        <w:tc>
          <w:tcPr>
            <w:tcW w:w="0" w:type="auto"/>
            <w:hideMark/>
          </w:tcPr>
          <w:p w14:paraId="24EA87BB"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r w:rsidRPr="001C4AE1">
              <w:t xml:space="preserve">Reinforces the asset </w:t>
            </w:r>
            <w:proofErr w:type="gramStart"/>
            <w:r w:rsidRPr="001C4AE1">
              <w:t>gap;</w:t>
            </w:r>
            <w:proofErr w:type="gramEnd"/>
            <w:r w:rsidRPr="001C4AE1">
              <w:t xml:space="preserve"> pandemic surge benefits top holders.</w:t>
            </w:r>
          </w:p>
          <w:p w14:paraId="5465D44B"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618E2666" w14:textId="77777777" w:rsidR="001C4AE1" w:rsidRPr="001C4AE1" w:rsidRDefault="001C4AE1" w:rsidP="001C4AE1">
            <w:pPr>
              <w:cnfStyle w:val="000000000000" w:firstRow="0" w:lastRow="0" w:firstColumn="0" w:lastColumn="0" w:oddVBand="0" w:evenVBand="0" w:oddHBand="0" w:evenHBand="0" w:firstRowFirstColumn="0" w:firstRowLastColumn="0" w:lastRowFirstColumn="0" w:lastRowLastColumn="0"/>
            </w:pPr>
            <w:r w:rsidRPr="001C4AE1">
              <w:t>Temporary relief (stimulus) failed to generate long-term asset vehicles.</w:t>
            </w:r>
          </w:p>
        </w:tc>
      </w:tr>
    </w:tbl>
    <w:p w14:paraId="6EC54233" w14:textId="77777777" w:rsidR="001C4AE1" w:rsidRDefault="001C4AE1" w:rsidP="001C4AE1">
      <w:pPr>
        <w:spacing w:after="0" w:line="240" w:lineRule="auto"/>
        <w:jc w:val="both"/>
      </w:pPr>
    </w:p>
    <w:p w14:paraId="12D9796B" w14:textId="77777777" w:rsidR="00302492" w:rsidRDefault="00000000" w:rsidP="001C4AE1">
      <w:pPr>
        <w:pStyle w:val="Heading2"/>
        <w:spacing w:before="0" w:line="240" w:lineRule="auto"/>
        <w:rPr>
          <w:rFonts w:ascii="Arial" w:hAnsi="Arial"/>
          <w:color w:val="002060"/>
        </w:rPr>
      </w:pPr>
      <w:r w:rsidRPr="001C4AE1">
        <w:rPr>
          <w:rFonts w:ascii="Arial" w:hAnsi="Arial"/>
          <w:color w:val="002060"/>
        </w:rPr>
        <w:t>IV. The Institutional Multiplier: Why the Winners Win</w:t>
      </w:r>
    </w:p>
    <w:p w14:paraId="63DACEC0" w14:textId="77777777" w:rsidR="001C4AE1" w:rsidRPr="001C4AE1" w:rsidRDefault="001C4AE1" w:rsidP="001C4AE1">
      <w:pPr>
        <w:spacing w:after="0" w:line="240" w:lineRule="auto"/>
      </w:pPr>
    </w:p>
    <w:p w14:paraId="3C13ACB4" w14:textId="77777777" w:rsidR="00302492" w:rsidRDefault="00000000" w:rsidP="001C4AE1">
      <w:pPr>
        <w:spacing w:after="0" w:line="240" w:lineRule="auto"/>
        <w:jc w:val="both"/>
      </w:pPr>
      <w:r>
        <w:t>The elite are not simply winning a footrace; they are being propelled by a policy-provisioned current that the rest of the country is forced to swim against. This Institutional Multiplier includes financial markets, property laws, and tax-advantaged growth mechanisms (e.g., 401(k)s, Mortgage Interest Deduction) that convert income into wealth automatically.</w:t>
      </w:r>
    </w:p>
    <w:p w14:paraId="3D3E1691" w14:textId="77777777" w:rsidR="001C4AE1" w:rsidRDefault="001C4AE1" w:rsidP="001C4AE1">
      <w:pPr>
        <w:spacing w:after="0" w:line="240" w:lineRule="auto"/>
        <w:jc w:val="both"/>
      </w:pPr>
    </w:p>
    <w:p w14:paraId="59D53D05" w14:textId="77777777" w:rsidR="00302492" w:rsidRDefault="00000000" w:rsidP="001C4AE1">
      <w:pPr>
        <w:spacing w:after="0" w:line="240" w:lineRule="auto"/>
        <w:jc w:val="both"/>
      </w:pPr>
      <w:r>
        <w:t>Conversely, the bottom 80% inherit Atmospheric Drag composed of historical harms like redlining. Even when Black families secure a home, systemic disinvestment ensures they realize housing returns an order of magnitude lower than White owners, making the middle class a trap door rather than a stable platform.</w:t>
      </w:r>
    </w:p>
    <w:p w14:paraId="48F9C492" w14:textId="77777777" w:rsidR="001C4AE1" w:rsidRDefault="001C4AE1" w:rsidP="001C4AE1">
      <w:pPr>
        <w:spacing w:after="0" w:line="240" w:lineRule="auto"/>
        <w:jc w:val="both"/>
      </w:pPr>
    </w:p>
    <w:p w14:paraId="6492DB88" w14:textId="77777777" w:rsidR="00302492" w:rsidRDefault="00000000" w:rsidP="001C4AE1">
      <w:pPr>
        <w:spacing w:after="0" w:line="240" w:lineRule="auto"/>
        <w:jc w:val="both"/>
        <w:rPr>
          <w:b/>
          <w:bCs/>
          <w:color w:val="002060"/>
        </w:rPr>
      </w:pPr>
      <w:r w:rsidRPr="001C4AE1">
        <w:rPr>
          <w:b/>
          <w:bCs/>
          <w:color w:val="002060"/>
        </w:rPr>
        <w:t>Conclusion</w:t>
      </w:r>
    </w:p>
    <w:p w14:paraId="0F58FB55" w14:textId="77777777" w:rsidR="001C4AE1" w:rsidRPr="001C4AE1" w:rsidRDefault="001C4AE1" w:rsidP="001C4AE1">
      <w:pPr>
        <w:spacing w:after="0" w:line="240" w:lineRule="auto"/>
        <w:jc w:val="both"/>
        <w:rPr>
          <w:b/>
          <w:bCs/>
          <w:color w:val="002060"/>
        </w:rPr>
      </w:pPr>
    </w:p>
    <w:p w14:paraId="70FCCDC4" w14:textId="77777777" w:rsidR="00302492" w:rsidRDefault="00000000" w:rsidP="001C4AE1">
      <w:pPr>
        <w:spacing w:after="0" w:line="240" w:lineRule="auto"/>
        <w:jc w:val="both"/>
      </w:pPr>
      <w:r>
        <w:t>Chapter 2 proves that the stagnation of the American majority is a mechanical failure of the state to provide Wealth-Generating Functioning beyond the top quintile. The current system pours income support into a bucket with a hole in the bottom—families lack the financial plumbing to capture and hold resources. To restore mobility, the social contract must move from managing poverty with consumption-based tweezers to building Integrated Launch Pads that distribute the mechanics of compound growth to every citizen. Without this repurposing of existing governmental capability, the Strategic Wedge of race will continue to distract from the shared structural exploitation of the majority.</w:t>
      </w:r>
    </w:p>
    <w:p w14:paraId="2D6EBE7B" w14:textId="77777777" w:rsidR="00302492" w:rsidRDefault="00000000" w:rsidP="001C4AE1">
      <w:pPr>
        <w:spacing w:after="0" w:line="240" w:lineRule="auto"/>
      </w:pPr>
      <w:r>
        <w:br/>
        <w:t>------------------------------</w:t>
      </w:r>
    </w:p>
    <w:p w14:paraId="0C8E4C47" w14:textId="77777777" w:rsidR="00302492" w:rsidRDefault="00000000" w:rsidP="001C4AE1">
      <w:pPr>
        <w:spacing w:after="0" w:line="240" w:lineRule="auto"/>
      </w:pPr>
      <w:r>
        <w:rPr>
          <w:rFonts w:ascii="Arial" w:hAnsi="Arial"/>
          <w:i/>
          <w:color w:val="808080"/>
          <w:sz w:val="18"/>
        </w:rPr>
        <w:t>AI Disclosure Statement: This document utilized Google Gemini (2026 version) to harmonize research data into a cohesive visual brand identity. All statistical interpretations are derived from original research by William Elliott et al.</w:t>
      </w:r>
    </w:p>
    <w:sectPr w:rsidR="00302492"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252C" w14:textId="77777777" w:rsidR="004B6A71" w:rsidRDefault="004B6A71">
      <w:pPr>
        <w:spacing w:after="0" w:line="240" w:lineRule="auto"/>
      </w:pPr>
      <w:r>
        <w:separator/>
      </w:r>
    </w:p>
  </w:endnote>
  <w:endnote w:type="continuationSeparator" w:id="0">
    <w:p w14:paraId="6F57A337" w14:textId="77777777" w:rsidR="004B6A71" w:rsidRDefault="004B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FF36" w14:textId="77777777" w:rsidR="00302492" w:rsidRDefault="00000000">
    <w:pPr>
      <w:pStyle w:val="Footer"/>
      <w:jc w:val="center"/>
    </w:pPr>
    <w:r>
      <w:rPr>
        <w:rFonts w:ascii="Arial" w:hAnsi="Arial"/>
        <w:i/>
        <w:color w:val="808080"/>
        <w:sz w:val="16"/>
      </w:rPr>
      <w:t>Occupy 2.0 Digital Archive | File: Policy Brief_Chpt.2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42D6" w14:textId="77777777" w:rsidR="004B6A71" w:rsidRDefault="004B6A71">
      <w:pPr>
        <w:spacing w:after="0" w:line="240" w:lineRule="auto"/>
      </w:pPr>
      <w:r>
        <w:separator/>
      </w:r>
    </w:p>
  </w:footnote>
  <w:footnote w:type="continuationSeparator" w:id="0">
    <w:p w14:paraId="67D8BD65" w14:textId="77777777" w:rsidR="004B6A71" w:rsidRDefault="004B6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ED3EDF"/>
    <w:multiLevelType w:val="hybridMultilevel"/>
    <w:tmpl w:val="487A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B6DE1"/>
    <w:multiLevelType w:val="hybridMultilevel"/>
    <w:tmpl w:val="1D8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800932">
    <w:abstractNumId w:val="8"/>
  </w:num>
  <w:num w:numId="2" w16cid:durableId="1609238035">
    <w:abstractNumId w:val="6"/>
  </w:num>
  <w:num w:numId="3" w16cid:durableId="897205740">
    <w:abstractNumId w:val="5"/>
  </w:num>
  <w:num w:numId="4" w16cid:durableId="448821980">
    <w:abstractNumId w:val="4"/>
  </w:num>
  <w:num w:numId="5" w16cid:durableId="262616360">
    <w:abstractNumId w:val="7"/>
  </w:num>
  <w:num w:numId="6" w16cid:durableId="1925647289">
    <w:abstractNumId w:val="3"/>
  </w:num>
  <w:num w:numId="7" w16cid:durableId="345131485">
    <w:abstractNumId w:val="2"/>
  </w:num>
  <w:num w:numId="8" w16cid:durableId="329908819">
    <w:abstractNumId w:val="1"/>
  </w:num>
  <w:num w:numId="9" w16cid:durableId="186262758">
    <w:abstractNumId w:val="0"/>
  </w:num>
  <w:num w:numId="10" w16cid:durableId="1161696625">
    <w:abstractNumId w:val="10"/>
  </w:num>
  <w:num w:numId="11" w16cid:durableId="2005471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481"/>
    <w:rsid w:val="0015074B"/>
    <w:rsid w:val="001C4AE1"/>
    <w:rsid w:val="0029639D"/>
    <w:rsid w:val="00302492"/>
    <w:rsid w:val="00326F90"/>
    <w:rsid w:val="004B6A7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753519"/>
  <w14:defaultImageDpi w14:val="300"/>
  <w15:docId w15:val="{C83E19FF-AAF2-2741-98B0-BDFC6CD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99"/>
    <w:rsid w:val="001C4A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5263</Characters>
  <Application>Microsoft Office Word</Application>
  <DocSecurity>0</DocSecurity>
  <Lines>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Elliott, William</cp:lastModifiedBy>
  <cp:revision>2</cp:revision>
  <dcterms:created xsi:type="dcterms:W3CDTF">2026-01-19T00:58:00Z</dcterms:created>
  <dcterms:modified xsi:type="dcterms:W3CDTF">2026-01-19T00:58:00Z</dcterms:modified>
  <cp:category/>
</cp:coreProperties>
</file>