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A72F" w14:textId="77777777" w:rsidR="00460448" w:rsidRDefault="00000000" w:rsidP="0028344F">
      <w:pPr>
        <w:spacing w:after="0" w:line="240" w:lineRule="auto"/>
        <w:jc w:val="center"/>
      </w:pPr>
      <w:r>
        <w:rPr>
          <w:noProof/>
        </w:rPr>
        <w:drawing>
          <wp:inline distT="0" distB="0" distL="0" distR="0" wp14:anchorId="1691B583" wp14:editId="6EED2EDD">
            <wp:extent cx="27432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y_logo.png"/>
                    <pic:cNvPicPr/>
                  </pic:nvPicPr>
                  <pic:blipFill>
                    <a:blip r:embed="rId8"/>
                    <a:stretch>
                      <a:fillRect/>
                    </a:stretch>
                  </pic:blipFill>
                  <pic:spPr>
                    <a:xfrm>
                      <a:off x="0" y="0"/>
                      <a:ext cx="2743200" cy="1498600"/>
                    </a:xfrm>
                    <a:prstGeom prst="rect">
                      <a:avLst/>
                    </a:prstGeom>
                  </pic:spPr>
                </pic:pic>
              </a:graphicData>
            </a:graphic>
          </wp:inline>
        </w:drawing>
      </w:r>
    </w:p>
    <w:p w14:paraId="469DA80A" w14:textId="77777777" w:rsidR="00460448" w:rsidRDefault="00000000" w:rsidP="0028344F">
      <w:pPr>
        <w:pStyle w:val="Title"/>
        <w:spacing w:after="0"/>
        <w:jc w:val="center"/>
      </w:pPr>
      <w:r>
        <w:rPr>
          <w:rFonts w:ascii="Arial" w:hAnsi="Arial"/>
          <w:b/>
          <w:color w:val="003366"/>
          <w:sz w:val="40"/>
        </w:rPr>
        <w:t>POLICY BRIEF CHPT.4</w:t>
      </w:r>
    </w:p>
    <w:p w14:paraId="1FDAC8EA" w14:textId="77777777" w:rsidR="0028344F" w:rsidRDefault="0028344F" w:rsidP="0028344F">
      <w:pPr>
        <w:spacing w:after="0" w:line="240" w:lineRule="auto"/>
        <w:jc w:val="both"/>
        <w:rPr>
          <w:b/>
          <w:bCs/>
          <w:color w:val="002060"/>
        </w:rPr>
      </w:pPr>
    </w:p>
    <w:p w14:paraId="29446C0A" w14:textId="7264CB5E" w:rsidR="00460448" w:rsidRDefault="00000000" w:rsidP="0028344F">
      <w:pPr>
        <w:spacing w:after="0" w:line="240" w:lineRule="auto"/>
        <w:jc w:val="both"/>
      </w:pPr>
      <w:r w:rsidRPr="0028344F">
        <w:rPr>
          <w:b/>
          <w:bCs/>
          <w:color w:val="002060"/>
        </w:rPr>
        <w:t>Policy Brief</w:t>
      </w:r>
      <w:r>
        <w:t>: The Mechanics of Stagnation</w:t>
      </w:r>
    </w:p>
    <w:p w14:paraId="6BB3F903" w14:textId="77777777" w:rsidR="0028344F" w:rsidRDefault="0028344F" w:rsidP="0028344F">
      <w:pPr>
        <w:spacing w:after="0" w:line="240" w:lineRule="auto"/>
        <w:jc w:val="both"/>
      </w:pPr>
    </w:p>
    <w:p w14:paraId="40F17E65" w14:textId="77777777" w:rsidR="00460448" w:rsidRDefault="00000000" w:rsidP="0028344F">
      <w:pPr>
        <w:spacing w:after="0" w:line="240" w:lineRule="auto"/>
        <w:jc w:val="both"/>
      </w:pPr>
      <w:r w:rsidRPr="0028344F">
        <w:rPr>
          <w:b/>
          <w:bCs/>
          <w:color w:val="002060"/>
        </w:rPr>
        <w:t>Chapter 4</w:t>
      </w:r>
      <w:r>
        <w:t>: Beyond the Racial Wealth Gap: Structural Class Exclusion and the Case for a Social Mobility Revolution in America</w:t>
      </w:r>
    </w:p>
    <w:p w14:paraId="441EA753" w14:textId="77777777" w:rsidR="0028344F" w:rsidRDefault="0028344F" w:rsidP="0028344F">
      <w:pPr>
        <w:spacing w:after="0" w:line="240" w:lineRule="auto"/>
        <w:jc w:val="both"/>
      </w:pPr>
    </w:p>
    <w:p w14:paraId="0B8ABC77" w14:textId="77777777" w:rsidR="00460448" w:rsidRDefault="00000000" w:rsidP="0028344F">
      <w:pPr>
        <w:spacing w:after="0" w:line="240" w:lineRule="auto"/>
        <w:jc w:val="both"/>
      </w:pPr>
      <w:r w:rsidRPr="0028344F">
        <w:rPr>
          <w:b/>
          <w:bCs/>
          <w:color w:val="002060"/>
        </w:rPr>
        <w:t>Executive Summary</w:t>
      </w:r>
      <w:r>
        <w:t>: The Chapter Claim</w:t>
      </w:r>
    </w:p>
    <w:p w14:paraId="51406D21" w14:textId="77777777" w:rsidR="0028344F" w:rsidRDefault="0028344F" w:rsidP="0028344F">
      <w:pPr>
        <w:spacing w:after="0" w:line="240" w:lineRule="auto"/>
        <w:jc w:val="both"/>
      </w:pPr>
    </w:p>
    <w:p w14:paraId="646CD78D" w14:textId="77777777" w:rsidR="00460448" w:rsidRDefault="00000000" w:rsidP="0028344F">
      <w:pPr>
        <w:spacing w:after="0" w:line="240" w:lineRule="auto"/>
        <w:jc w:val="both"/>
      </w:pPr>
      <w:r>
        <w:t>Chapter 4 opens the hood of the American household portfolio to diagnose the structural failure of mobility. It argues that standard economic analyses treat all dollars as equal, but the stuff of wealth changes fundamentally as households ascend the ladder. The core structural claim is a mechanical bifurcation of the American ledger: the bottom quintiles are anchored by assets that cost money to maintain (Depreciating Drag), while the upper quintiles are propelled by assets that grow independently of labor (Appreciating Lift).</w:t>
      </w:r>
    </w:p>
    <w:p w14:paraId="54B5EF51" w14:textId="77777777" w:rsidR="0028344F" w:rsidRDefault="0028344F" w:rsidP="0028344F">
      <w:pPr>
        <w:spacing w:after="0" w:line="240" w:lineRule="auto"/>
        <w:jc w:val="both"/>
      </w:pPr>
    </w:p>
    <w:p w14:paraId="3E963083" w14:textId="77777777" w:rsidR="00460448" w:rsidRDefault="00000000" w:rsidP="0028344F">
      <w:pPr>
        <w:spacing w:after="0" w:line="240" w:lineRule="auto"/>
        <w:jc w:val="both"/>
      </w:pPr>
      <w:r>
        <w:t>The chapter reveals that for the bottom 80%, upward mobility is not a matter of individual effort but a failure of physics. Households remain grounded because their primary wealth consists of vehicles that lose value and student debt that compounds, creating a Gravity Trap that no amount of labor-based thrust can overcome.</w:t>
      </w:r>
    </w:p>
    <w:p w14:paraId="4A077F03" w14:textId="77777777" w:rsidR="0028344F" w:rsidRDefault="0028344F" w:rsidP="0028344F">
      <w:pPr>
        <w:spacing w:after="0" w:line="240" w:lineRule="auto"/>
        <w:jc w:val="both"/>
      </w:pPr>
    </w:p>
    <w:p w14:paraId="22CFE7D6" w14:textId="77777777" w:rsidR="00460448" w:rsidRDefault="00000000" w:rsidP="0028344F">
      <w:pPr>
        <w:pStyle w:val="Heading2"/>
        <w:spacing w:before="0" w:line="240" w:lineRule="auto"/>
        <w:rPr>
          <w:rFonts w:ascii="Arial" w:hAnsi="Arial"/>
          <w:color w:val="002060"/>
        </w:rPr>
      </w:pPr>
      <w:r w:rsidRPr="0028344F">
        <w:rPr>
          <w:rFonts w:ascii="Arial" w:hAnsi="Arial"/>
          <w:color w:val="002060"/>
        </w:rPr>
        <w:t>I. Key Definitions: Anchors vs. Propellers</w:t>
      </w:r>
    </w:p>
    <w:p w14:paraId="52A689EF" w14:textId="77777777" w:rsidR="0028344F" w:rsidRPr="0028344F" w:rsidRDefault="0028344F" w:rsidP="0028344F">
      <w:pPr>
        <w:spacing w:after="0" w:line="240" w:lineRule="auto"/>
      </w:pPr>
    </w:p>
    <w:p w14:paraId="1CFDB2D8" w14:textId="77777777" w:rsidR="00460448" w:rsidRDefault="00000000" w:rsidP="0028344F">
      <w:pPr>
        <w:spacing w:after="0" w:line="240" w:lineRule="auto"/>
        <w:jc w:val="both"/>
      </w:pPr>
      <w:r>
        <w:t>To understand the stagnation of the working class, the chapter introduces specific mechanical distinctions in asset and debt composition:</w:t>
      </w:r>
    </w:p>
    <w:p w14:paraId="63CB4CBF" w14:textId="77777777" w:rsidR="0028344F" w:rsidRDefault="0028344F" w:rsidP="0028344F">
      <w:pPr>
        <w:spacing w:after="0" w:line="240" w:lineRule="auto"/>
        <w:jc w:val="both"/>
      </w:pPr>
    </w:p>
    <w:p w14:paraId="4BC2C17D" w14:textId="77777777" w:rsidR="00460448" w:rsidRDefault="00000000" w:rsidP="0028344F">
      <w:pPr>
        <w:pStyle w:val="ListParagraph"/>
        <w:numPr>
          <w:ilvl w:val="0"/>
          <w:numId w:val="11"/>
        </w:numPr>
        <w:spacing w:after="0" w:line="240" w:lineRule="auto"/>
        <w:jc w:val="both"/>
      </w:pPr>
      <w:r w:rsidRPr="0028344F">
        <w:rPr>
          <w:b/>
          <w:bCs/>
          <w:color w:val="002060"/>
        </w:rPr>
        <w:t>Vehicle Trap</w:t>
      </w:r>
      <w:r>
        <w:t>: A state where the primary asset of the working poor is an automobile—a functional necessity that depreciates rapidly while demanding constant cash flow for insurance, fuel, and repairs.</w:t>
      </w:r>
    </w:p>
    <w:p w14:paraId="452190FB" w14:textId="77777777" w:rsidR="0028344F" w:rsidRDefault="0028344F" w:rsidP="0028344F">
      <w:pPr>
        <w:pStyle w:val="ListParagraph"/>
        <w:spacing w:after="0" w:line="240" w:lineRule="auto"/>
        <w:jc w:val="both"/>
      </w:pPr>
    </w:p>
    <w:p w14:paraId="0985BB05" w14:textId="77777777" w:rsidR="00460448" w:rsidRDefault="00000000" w:rsidP="0028344F">
      <w:pPr>
        <w:pStyle w:val="ListParagraph"/>
        <w:numPr>
          <w:ilvl w:val="0"/>
          <w:numId w:val="11"/>
        </w:numPr>
        <w:spacing w:after="0" w:line="240" w:lineRule="auto"/>
        <w:jc w:val="both"/>
      </w:pPr>
      <w:r w:rsidRPr="0028344F">
        <w:rPr>
          <w:b/>
          <w:bCs/>
          <w:color w:val="002060"/>
        </w:rPr>
        <w:t>Startup Debt (Anchors)</w:t>
      </w:r>
      <w:r>
        <w:t>: Debt incurred to enter the labor market, specifically student loans, which siphons future wages to pay for past entry costs.</w:t>
      </w:r>
    </w:p>
    <w:p w14:paraId="77A8CF01" w14:textId="77777777" w:rsidR="0028344F" w:rsidRDefault="0028344F" w:rsidP="0028344F">
      <w:pPr>
        <w:pStyle w:val="ListParagraph"/>
        <w:spacing w:after="0" w:line="240" w:lineRule="auto"/>
        <w:jc w:val="both"/>
      </w:pPr>
    </w:p>
    <w:p w14:paraId="6A6463CA" w14:textId="77777777" w:rsidR="00460448" w:rsidRDefault="00000000" w:rsidP="0028344F">
      <w:pPr>
        <w:pStyle w:val="ListParagraph"/>
        <w:numPr>
          <w:ilvl w:val="0"/>
          <w:numId w:val="11"/>
        </w:numPr>
        <w:spacing w:after="0" w:line="240" w:lineRule="auto"/>
        <w:jc w:val="both"/>
      </w:pPr>
      <w:r w:rsidRPr="0028344F">
        <w:rPr>
          <w:b/>
          <w:bCs/>
          <w:color w:val="002060"/>
        </w:rPr>
        <w:t>Business Debt (Propellers)</w:t>
      </w:r>
      <w:r>
        <w:t>: Strategic leverage used by the elite to acquire capital-producing assets, accelerating accumulation through the American Multiplier.</w:t>
      </w:r>
    </w:p>
    <w:p w14:paraId="69BD1B79" w14:textId="77777777" w:rsidR="0028344F" w:rsidRDefault="0028344F" w:rsidP="0028344F">
      <w:pPr>
        <w:pStyle w:val="ListParagraph"/>
        <w:spacing w:after="0" w:line="240" w:lineRule="auto"/>
        <w:jc w:val="both"/>
      </w:pPr>
    </w:p>
    <w:p w14:paraId="05D7033C" w14:textId="30F1D133" w:rsidR="0028344F" w:rsidRDefault="00000000" w:rsidP="0028344F">
      <w:pPr>
        <w:pStyle w:val="ListParagraph"/>
        <w:numPr>
          <w:ilvl w:val="0"/>
          <w:numId w:val="11"/>
        </w:numPr>
        <w:spacing w:after="0" w:line="240" w:lineRule="auto"/>
        <w:jc w:val="both"/>
      </w:pPr>
      <w:r w:rsidRPr="0028344F">
        <w:rPr>
          <w:b/>
          <w:bCs/>
          <w:color w:val="002060"/>
        </w:rPr>
        <w:t>ROD Failure (Return on Degree)</w:t>
      </w:r>
      <w:r>
        <w:t>: The mechanical failure where the lift of a degree is neutralized by the drag of the debt used to finance it, resulting in a net-zero or negative return on effort for Black graduates.</w:t>
      </w:r>
    </w:p>
    <w:p w14:paraId="60DDC1A5" w14:textId="77777777" w:rsidR="0028344F" w:rsidRDefault="0028344F" w:rsidP="0028344F">
      <w:pPr>
        <w:pStyle w:val="ListParagraph"/>
        <w:spacing w:after="0" w:line="240" w:lineRule="auto"/>
        <w:jc w:val="both"/>
      </w:pPr>
    </w:p>
    <w:p w14:paraId="6EAB2C3C" w14:textId="7CF8DFCD" w:rsidR="0028344F" w:rsidRDefault="00000000" w:rsidP="0028344F">
      <w:pPr>
        <w:pStyle w:val="ListParagraph"/>
        <w:numPr>
          <w:ilvl w:val="0"/>
          <w:numId w:val="11"/>
        </w:numPr>
        <w:spacing w:after="0" w:line="240" w:lineRule="auto"/>
        <w:jc w:val="both"/>
      </w:pPr>
      <w:r w:rsidRPr="0028344F">
        <w:rPr>
          <w:b/>
          <w:bCs/>
          <w:color w:val="002060"/>
        </w:rPr>
        <w:t>Appreciating Lift</w:t>
      </w:r>
      <w:r>
        <w:t>: Assets like stocks, bonds, and business equity that generate passive returns (r) exceeding the rate of economic growth (g).</w:t>
      </w:r>
    </w:p>
    <w:p w14:paraId="34BEA975" w14:textId="77777777" w:rsidR="0028344F" w:rsidRDefault="0028344F" w:rsidP="0028344F">
      <w:pPr>
        <w:spacing w:after="0" w:line="240" w:lineRule="auto"/>
        <w:ind w:left="360"/>
        <w:jc w:val="both"/>
      </w:pPr>
    </w:p>
    <w:p w14:paraId="20B5031F" w14:textId="77777777" w:rsidR="00460448" w:rsidRDefault="00000000" w:rsidP="0028344F">
      <w:pPr>
        <w:pStyle w:val="Heading2"/>
        <w:spacing w:before="0" w:line="240" w:lineRule="auto"/>
        <w:rPr>
          <w:rFonts w:ascii="Arial" w:hAnsi="Arial"/>
          <w:color w:val="002060"/>
        </w:rPr>
      </w:pPr>
      <w:r w:rsidRPr="0028344F">
        <w:rPr>
          <w:rFonts w:ascii="Arial" w:hAnsi="Arial"/>
          <w:color w:val="002060"/>
        </w:rPr>
        <w:t>II. Key Statistics and Visual Findings</w:t>
      </w:r>
    </w:p>
    <w:p w14:paraId="701BB8F4" w14:textId="77777777" w:rsidR="0028344F" w:rsidRPr="0028344F" w:rsidRDefault="0028344F" w:rsidP="0028344F">
      <w:pPr>
        <w:spacing w:after="0" w:line="240" w:lineRule="auto"/>
      </w:pPr>
    </w:p>
    <w:p w14:paraId="5B458E4F" w14:textId="77777777" w:rsidR="00460448" w:rsidRDefault="00000000" w:rsidP="0028344F">
      <w:pPr>
        <w:spacing w:after="0" w:line="240" w:lineRule="auto"/>
        <w:jc w:val="both"/>
      </w:pPr>
      <w:r>
        <w:t>The following metrics expose the divergent mechanical functions of household portfolios across class and race:</w:t>
      </w:r>
    </w:p>
    <w:p w14:paraId="6DA3DDA2" w14:textId="77777777" w:rsidR="0028344F" w:rsidRDefault="0028344F" w:rsidP="0028344F">
      <w:pPr>
        <w:spacing w:after="0" w:line="240" w:lineRule="auto"/>
        <w:jc w:val="both"/>
      </w:pPr>
    </w:p>
    <w:p w14:paraId="16714292" w14:textId="77777777" w:rsidR="00460448" w:rsidRDefault="00000000" w:rsidP="0028344F">
      <w:pPr>
        <w:pStyle w:val="ListParagraph"/>
        <w:numPr>
          <w:ilvl w:val="0"/>
          <w:numId w:val="10"/>
        </w:numPr>
        <w:spacing w:after="0" w:line="240" w:lineRule="auto"/>
        <w:jc w:val="both"/>
      </w:pPr>
      <w:r w:rsidRPr="0028344F">
        <w:rPr>
          <w:b/>
          <w:bCs/>
          <w:color w:val="002060"/>
        </w:rPr>
        <w:t>91%–95% Vehicle Reliance</w:t>
      </w:r>
      <w:r>
        <w:t>: For White households in the bottom 20% (Q1), 91% of their wealth is held in vehicle equity. Similarly, for Black households in the working class (Q2), 95% of their gross wealth is trapped in vehicles.</w:t>
      </w:r>
    </w:p>
    <w:p w14:paraId="1AE246F6" w14:textId="77777777" w:rsidR="0028344F" w:rsidRDefault="0028344F" w:rsidP="0028344F">
      <w:pPr>
        <w:pStyle w:val="ListParagraph"/>
        <w:spacing w:after="0" w:line="240" w:lineRule="auto"/>
        <w:jc w:val="both"/>
      </w:pPr>
    </w:p>
    <w:p w14:paraId="121394A9" w14:textId="77777777" w:rsidR="00460448" w:rsidRDefault="00000000" w:rsidP="0028344F">
      <w:pPr>
        <w:pStyle w:val="ListParagraph"/>
        <w:numPr>
          <w:ilvl w:val="0"/>
          <w:numId w:val="10"/>
        </w:numPr>
        <w:spacing w:after="0" w:line="240" w:lineRule="auto"/>
        <w:jc w:val="both"/>
      </w:pPr>
      <w:r w:rsidRPr="0028344F">
        <w:rPr>
          <w:b/>
          <w:bCs/>
          <w:color w:val="002060"/>
        </w:rPr>
        <w:t>The Debt Bifurcation</w:t>
      </w:r>
      <w:r>
        <w:t>: For the Black Bottom 40%, the primary form of non-mortgage debt is student loans (median $16,650), while the White Top 20% utilizes a median of $35,606 in business debt as a strategic growth tool.</w:t>
      </w:r>
    </w:p>
    <w:p w14:paraId="3D4C9A77" w14:textId="77777777" w:rsidR="0028344F" w:rsidRDefault="0028344F" w:rsidP="0028344F">
      <w:pPr>
        <w:spacing w:after="0" w:line="240" w:lineRule="auto"/>
        <w:jc w:val="both"/>
      </w:pPr>
    </w:p>
    <w:p w14:paraId="0994B6A8" w14:textId="2B4B53F8" w:rsidR="0028344F" w:rsidRDefault="00000000" w:rsidP="0028344F">
      <w:pPr>
        <w:pStyle w:val="ListParagraph"/>
        <w:numPr>
          <w:ilvl w:val="0"/>
          <w:numId w:val="10"/>
        </w:numPr>
        <w:spacing w:after="0" w:line="240" w:lineRule="auto"/>
        <w:jc w:val="both"/>
      </w:pPr>
      <w:r w:rsidRPr="0028344F">
        <w:rPr>
          <w:b/>
          <w:bCs/>
          <w:color w:val="002060"/>
        </w:rPr>
        <w:t>Net-Negative Launch</w:t>
      </w:r>
      <w:r>
        <w:t>: While standard longitudinal data often hits a floor of $0, triangulation with the Survey of Consumer Finances reveals that the median Black household in the bottom quintile carries $17,344 in installment debt—99.6% of which is student loans.</w:t>
      </w:r>
    </w:p>
    <w:p w14:paraId="6CBAECB7" w14:textId="77777777" w:rsidR="0028344F" w:rsidRDefault="0028344F" w:rsidP="0028344F">
      <w:pPr>
        <w:spacing w:after="0" w:line="240" w:lineRule="auto"/>
        <w:jc w:val="both"/>
      </w:pPr>
    </w:p>
    <w:p w14:paraId="3270D18D" w14:textId="77777777" w:rsidR="00460448" w:rsidRDefault="00000000" w:rsidP="0028344F">
      <w:pPr>
        <w:pStyle w:val="ListParagraph"/>
        <w:numPr>
          <w:ilvl w:val="0"/>
          <w:numId w:val="10"/>
        </w:numPr>
        <w:spacing w:after="0" w:line="240" w:lineRule="auto"/>
        <w:jc w:val="both"/>
      </w:pPr>
      <w:r w:rsidRPr="0028344F">
        <w:rPr>
          <w:b/>
          <w:bCs/>
          <w:color w:val="002060"/>
        </w:rPr>
        <w:t>Retirement Asset Abyss</w:t>
      </w:r>
      <w:r>
        <w:t>: White households in the top 20% (Q5) hold a median of $732,446 in retirement assets, compared to just $20,578 for Black Q5 households. This confirms that even the Black elite have largely failed to break through into the true asset-holding class.</w:t>
      </w:r>
    </w:p>
    <w:p w14:paraId="5D8A40AE" w14:textId="77777777" w:rsidR="0028344F" w:rsidRDefault="0028344F" w:rsidP="0028344F">
      <w:pPr>
        <w:spacing w:after="0" w:line="240" w:lineRule="auto"/>
        <w:jc w:val="both"/>
      </w:pPr>
    </w:p>
    <w:p w14:paraId="2D23D4CE" w14:textId="77777777" w:rsidR="00460448" w:rsidRDefault="00000000" w:rsidP="0028344F">
      <w:pPr>
        <w:pStyle w:val="ListParagraph"/>
        <w:numPr>
          <w:ilvl w:val="0"/>
          <w:numId w:val="10"/>
        </w:numPr>
        <w:spacing w:after="0" w:line="240" w:lineRule="auto"/>
        <w:jc w:val="both"/>
      </w:pPr>
      <w:r w:rsidRPr="0028344F">
        <w:rPr>
          <w:b/>
          <w:bCs/>
          <w:color w:val="002060"/>
        </w:rPr>
        <w:t>The 9:1 Education Squeeze</w:t>
      </w:r>
      <w:r>
        <w:t>: Since 1980, the real price of a college degree exploded by 169%, while real earnings for young workers grew by only 19%.</w:t>
      </w:r>
    </w:p>
    <w:p w14:paraId="06BD126A" w14:textId="77777777" w:rsidR="0028344F" w:rsidRDefault="0028344F" w:rsidP="0028344F">
      <w:pPr>
        <w:spacing w:after="0" w:line="240" w:lineRule="auto"/>
        <w:jc w:val="both"/>
      </w:pPr>
    </w:p>
    <w:p w14:paraId="52A7C0B8" w14:textId="77777777" w:rsidR="00460448" w:rsidRDefault="00000000" w:rsidP="0028344F">
      <w:pPr>
        <w:pStyle w:val="Heading2"/>
        <w:spacing w:before="0" w:line="240" w:lineRule="auto"/>
        <w:rPr>
          <w:rFonts w:ascii="Arial" w:hAnsi="Arial"/>
          <w:color w:val="002060"/>
        </w:rPr>
      </w:pPr>
      <w:r w:rsidRPr="0028344F">
        <w:rPr>
          <w:rFonts w:ascii="Arial" w:hAnsi="Arial"/>
          <w:color w:val="002060"/>
        </w:rPr>
        <w:t>III. The Portfolio Mismatch: Tethered to the Wrong Line</w:t>
      </w:r>
    </w:p>
    <w:p w14:paraId="2F3E4517" w14:textId="77777777" w:rsidR="0028344F" w:rsidRPr="0028344F" w:rsidRDefault="0028344F" w:rsidP="0028344F">
      <w:pPr>
        <w:spacing w:after="0" w:line="240" w:lineRule="auto"/>
      </w:pPr>
    </w:p>
    <w:p w14:paraId="0899438A" w14:textId="77777777" w:rsidR="00460448" w:rsidRDefault="00000000" w:rsidP="0028344F">
      <w:pPr>
        <w:spacing w:after="0" w:line="240" w:lineRule="auto"/>
        <w:jc w:val="both"/>
      </w:pPr>
      <w:r>
        <w:t>The chapter integrates external market data with internal household data to show that American families are tethered to different trend lines based on their asset composition:</w:t>
      </w:r>
    </w:p>
    <w:p w14:paraId="6340C835" w14:textId="77777777" w:rsidR="0028344F" w:rsidRDefault="0028344F" w:rsidP="0028344F">
      <w:pPr>
        <w:spacing w:after="0" w:line="240" w:lineRule="auto"/>
        <w:jc w:val="both"/>
      </w:pPr>
    </w:p>
    <w:p w14:paraId="7AC0BFCC" w14:textId="77777777" w:rsidR="00460448" w:rsidRDefault="00000000" w:rsidP="0028344F">
      <w:pPr>
        <w:spacing w:after="0" w:line="240" w:lineRule="auto"/>
        <w:jc w:val="both"/>
      </w:pPr>
      <w:r w:rsidRPr="0028344F">
        <w:rPr>
          <w:b/>
          <w:bCs/>
          <w:color w:val="002060"/>
        </w:rPr>
        <w:t>Table 1</w:t>
      </w:r>
      <w:r>
        <w:t>: The Mechanical Function of the Household Ledger (2023)</w:t>
      </w:r>
    </w:p>
    <w:tbl>
      <w:tblPr>
        <w:tblStyle w:val="GridTable1Light"/>
        <w:tblW w:w="0" w:type="auto"/>
        <w:tblLook w:val="04A0" w:firstRow="1" w:lastRow="0" w:firstColumn="1" w:lastColumn="0" w:noHBand="0" w:noVBand="1"/>
      </w:tblPr>
      <w:tblGrid>
        <w:gridCol w:w="1483"/>
        <w:gridCol w:w="2325"/>
        <w:gridCol w:w="2506"/>
        <w:gridCol w:w="2316"/>
      </w:tblGrid>
      <w:tr w:rsidR="0028344F" w:rsidRPr="0028344F" w14:paraId="29938724" w14:textId="77777777" w:rsidTr="00887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DE3253" w14:textId="77777777" w:rsidR="0028344F" w:rsidRPr="0028344F" w:rsidRDefault="0028344F" w:rsidP="0028344F">
            <w:pPr>
              <w:jc w:val="both"/>
            </w:pPr>
            <w:r w:rsidRPr="0028344F">
              <w:t>Class Segment</w:t>
            </w:r>
          </w:p>
        </w:tc>
        <w:tc>
          <w:tcPr>
            <w:tcW w:w="0" w:type="auto"/>
            <w:hideMark/>
          </w:tcPr>
          <w:p w14:paraId="0D3D8E72" w14:textId="77777777" w:rsidR="0028344F" w:rsidRPr="0028344F" w:rsidRDefault="0028344F" w:rsidP="0028344F">
            <w:pPr>
              <w:jc w:val="both"/>
              <w:cnfStyle w:val="100000000000" w:firstRow="1" w:lastRow="0" w:firstColumn="0" w:lastColumn="0" w:oddVBand="0" w:evenVBand="0" w:oddHBand="0" w:evenHBand="0" w:firstRowFirstColumn="0" w:firstRowLastColumn="0" w:lastRowFirstColumn="0" w:lastRowLastColumn="0"/>
            </w:pPr>
            <w:r w:rsidRPr="0028344F">
              <w:t>Primary Asset</w:t>
            </w:r>
          </w:p>
        </w:tc>
        <w:tc>
          <w:tcPr>
            <w:tcW w:w="0" w:type="auto"/>
            <w:hideMark/>
          </w:tcPr>
          <w:p w14:paraId="0D8E5B4C" w14:textId="77777777" w:rsidR="0028344F" w:rsidRPr="0028344F" w:rsidRDefault="0028344F" w:rsidP="0028344F">
            <w:pPr>
              <w:jc w:val="both"/>
              <w:cnfStyle w:val="100000000000" w:firstRow="1" w:lastRow="0" w:firstColumn="0" w:lastColumn="0" w:oddVBand="0" w:evenVBand="0" w:oddHBand="0" w:evenHBand="0" w:firstRowFirstColumn="0" w:firstRowLastColumn="0" w:lastRowFirstColumn="0" w:lastRowLastColumn="0"/>
            </w:pPr>
            <w:r w:rsidRPr="0028344F">
              <w:t>Economic Trend Line</w:t>
            </w:r>
          </w:p>
        </w:tc>
        <w:tc>
          <w:tcPr>
            <w:tcW w:w="0" w:type="auto"/>
            <w:hideMark/>
          </w:tcPr>
          <w:p w14:paraId="295128B6" w14:textId="77777777" w:rsidR="0028344F" w:rsidRPr="0028344F" w:rsidRDefault="0028344F" w:rsidP="0028344F">
            <w:pPr>
              <w:jc w:val="both"/>
              <w:cnfStyle w:val="100000000000" w:firstRow="1" w:lastRow="0" w:firstColumn="0" w:lastColumn="0" w:oddVBand="0" w:evenVBand="0" w:oddHBand="0" w:evenHBand="0" w:firstRowFirstColumn="0" w:firstRowLastColumn="0" w:lastRowFirstColumn="0" w:lastRowLastColumn="0"/>
            </w:pPr>
            <w:r w:rsidRPr="0028344F">
              <w:t>Mechanical Result</w:t>
            </w:r>
          </w:p>
        </w:tc>
      </w:tr>
      <w:tr w:rsidR="0028344F" w:rsidRPr="0028344F" w14:paraId="1E8FB330"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1BB42C53" w14:textId="77777777" w:rsidR="0028344F" w:rsidRPr="0028344F" w:rsidRDefault="0028344F" w:rsidP="0028344F">
            <w:pPr>
              <w:jc w:val="both"/>
            </w:pPr>
            <w:r w:rsidRPr="0028344F">
              <w:t>Wage Class (Bottom 60%)</w:t>
            </w:r>
          </w:p>
        </w:tc>
        <w:tc>
          <w:tcPr>
            <w:tcW w:w="0" w:type="auto"/>
            <w:hideMark/>
          </w:tcPr>
          <w:p w14:paraId="6A152120"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r w:rsidRPr="0028344F">
              <w:rPr>
                <w:b/>
                <w:bCs/>
              </w:rPr>
              <w:t>Vehicles</w:t>
            </w:r>
            <w:r w:rsidRPr="0028344F">
              <w:t xml:space="preserve"> (66%–95% of NW) </w:t>
            </w:r>
          </w:p>
          <w:p w14:paraId="47A4B293"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463851A"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r w:rsidRPr="0028344F">
              <w:rPr>
                <w:b/>
                <w:bCs/>
              </w:rPr>
              <w:t>Labor/Wages</w:t>
            </w:r>
            <w:r w:rsidRPr="0028344F">
              <w:t xml:space="preserve">: Grew only 19% since 1980 </w:t>
            </w:r>
          </w:p>
          <w:p w14:paraId="48F5E5CD"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C7DBB86"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r w:rsidRPr="0028344F">
              <w:rPr>
                <w:b/>
                <w:bCs/>
              </w:rPr>
              <w:t>Stagnation</w:t>
            </w:r>
            <w:r w:rsidRPr="0028344F">
              <w:t>: Assets depreciate while costs track inflation.</w:t>
            </w:r>
          </w:p>
        </w:tc>
      </w:tr>
      <w:tr w:rsidR="0028344F" w:rsidRPr="0028344F" w14:paraId="5AEE0AFE"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09D9F210" w14:textId="77777777" w:rsidR="0028344F" w:rsidRPr="0028344F" w:rsidRDefault="0028344F" w:rsidP="0028344F">
            <w:pPr>
              <w:jc w:val="both"/>
            </w:pPr>
            <w:r w:rsidRPr="0028344F">
              <w:t>Asset Class (Top 20%)</w:t>
            </w:r>
          </w:p>
        </w:tc>
        <w:tc>
          <w:tcPr>
            <w:tcW w:w="0" w:type="auto"/>
            <w:hideMark/>
          </w:tcPr>
          <w:p w14:paraId="0927F714"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r w:rsidRPr="0028344F">
              <w:rPr>
                <w:b/>
                <w:bCs/>
              </w:rPr>
              <w:t>Financial/Business Equity</w:t>
            </w:r>
            <w:r w:rsidRPr="0028344F">
              <w:t xml:space="preserve"> </w:t>
            </w:r>
          </w:p>
        </w:tc>
        <w:tc>
          <w:tcPr>
            <w:tcW w:w="0" w:type="auto"/>
            <w:hideMark/>
          </w:tcPr>
          <w:p w14:paraId="5D3E74A2"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r w:rsidRPr="0028344F">
              <w:rPr>
                <w:b/>
                <w:bCs/>
              </w:rPr>
              <w:t>Capital</w:t>
            </w:r>
            <w:r w:rsidRPr="0028344F">
              <w:t xml:space="preserve">: S&amp;P 500 grew 1,142% in real terms since 1980 </w:t>
            </w:r>
          </w:p>
        </w:tc>
        <w:tc>
          <w:tcPr>
            <w:tcW w:w="0" w:type="auto"/>
            <w:hideMark/>
          </w:tcPr>
          <w:p w14:paraId="400D57CC" w14:textId="77777777" w:rsidR="0028344F" w:rsidRPr="0028344F" w:rsidRDefault="0028344F" w:rsidP="0028344F">
            <w:pPr>
              <w:jc w:val="both"/>
              <w:cnfStyle w:val="000000000000" w:firstRow="0" w:lastRow="0" w:firstColumn="0" w:lastColumn="0" w:oddVBand="0" w:evenVBand="0" w:oddHBand="0" w:evenHBand="0" w:firstRowFirstColumn="0" w:firstRowLastColumn="0" w:lastRowFirstColumn="0" w:lastRowLastColumn="0"/>
            </w:pPr>
            <w:r w:rsidRPr="0028344F">
              <w:rPr>
                <w:b/>
                <w:bCs/>
              </w:rPr>
              <w:t>Escape Velocity</w:t>
            </w:r>
            <w:r w:rsidRPr="0028344F">
              <w:t>: Passive returns (</w:t>
            </w:r>
            <w:r w:rsidRPr="0028344F">
              <w:rPr>
                <w:i/>
                <w:iCs/>
              </w:rPr>
              <w:t>r</w:t>
            </w:r>
            <w:r w:rsidRPr="0028344F">
              <w:t>) exceed growth (</w:t>
            </w:r>
            <w:r w:rsidRPr="0028344F">
              <w:rPr>
                <w:i/>
                <w:iCs/>
              </w:rPr>
              <w:t>g</w:t>
            </w:r>
            <w:r w:rsidRPr="0028344F">
              <w:t>).</w:t>
            </w:r>
          </w:p>
        </w:tc>
      </w:tr>
    </w:tbl>
    <w:p w14:paraId="641D9B5D" w14:textId="77777777" w:rsidR="0028344F" w:rsidRDefault="0028344F" w:rsidP="0028344F">
      <w:pPr>
        <w:spacing w:after="0" w:line="240" w:lineRule="auto"/>
        <w:jc w:val="both"/>
      </w:pPr>
    </w:p>
    <w:p w14:paraId="4F8AFDEE" w14:textId="77777777" w:rsidR="00460448" w:rsidRDefault="00000000" w:rsidP="0028344F">
      <w:pPr>
        <w:pStyle w:val="Heading2"/>
        <w:spacing w:before="0" w:line="240" w:lineRule="auto"/>
        <w:rPr>
          <w:rFonts w:ascii="Arial" w:hAnsi="Arial"/>
          <w:color w:val="002060"/>
        </w:rPr>
      </w:pPr>
      <w:r w:rsidRPr="0028344F">
        <w:rPr>
          <w:rFonts w:ascii="Arial" w:hAnsi="Arial"/>
          <w:color w:val="002060"/>
        </w:rPr>
        <w:t>IV. The Education Mirage and the Student Debt Anchor</w:t>
      </w:r>
    </w:p>
    <w:p w14:paraId="0625A11B" w14:textId="77777777" w:rsidR="0028344F" w:rsidRPr="0028344F" w:rsidRDefault="0028344F" w:rsidP="0028344F">
      <w:pPr>
        <w:spacing w:after="0" w:line="240" w:lineRule="auto"/>
      </w:pPr>
    </w:p>
    <w:p w14:paraId="223C60DD" w14:textId="77777777" w:rsidR="00460448" w:rsidRDefault="00000000" w:rsidP="0028344F">
      <w:pPr>
        <w:spacing w:after="0" w:line="240" w:lineRule="auto"/>
        <w:jc w:val="both"/>
      </w:pPr>
      <w:r>
        <w:lastRenderedPageBreak/>
        <w:t>Chapter 4 dismantles the myth that education is a sufficient substitute for capital. It identifies a Return on Degree (ROD) failure where the cost of lift has outpaced the power of thrust.</w:t>
      </w:r>
    </w:p>
    <w:p w14:paraId="73BA2227" w14:textId="77777777" w:rsidR="0028344F" w:rsidRDefault="0028344F" w:rsidP="0028344F">
      <w:pPr>
        <w:spacing w:after="0" w:line="240" w:lineRule="auto"/>
        <w:jc w:val="both"/>
      </w:pPr>
    </w:p>
    <w:p w14:paraId="015CCA1E" w14:textId="77777777" w:rsidR="00460448" w:rsidRDefault="00000000" w:rsidP="0028344F">
      <w:pPr>
        <w:spacing w:after="0" w:line="240" w:lineRule="auto"/>
        <w:jc w:val="both"/>
      </w:pPr>
      <w:r>
        <w:t>For White graduates, structural deficits are often bridged by intergenerational transfers (The Family Scholarship). For Black graduates, the deficit is financed through Startup Debt, which acts as negative compounding interest. Nearly half (48%) of all Black graduates owe more on their federal loans four years after graduation than they did at the start, compared to just 17% of White graduates.</w:t>
      </w:r>
    </w:p>
    <w:p w14:paraId="00D57C7F" w14:textId="77777777" w:rsidR="0028344F" w:rsidRDefault="0028344F" w:rsidP="0028344F">
      <w:pPr>
        <w:spacing w:after="0" w:line="240" w:lineRule="auto"/>
        <w:jc w:val="both"/>
      </w:pPr>
    </w:p>
    <w:p w14:paraId="5FC28D7B" w14:textId="77777777" w:rsidR="00460448" w:rsidRDefault="00000000" w:rsidP="0028344F">
      <w:pPr>
        <w:spacing w:after="0" w:line="240" w:lineRule="auto"/>
        <w:jc w:val="both"/>
        <w:rPr>
          <w:b/>
          <w:bCs/>
          <w:color w:val="002060"/>
        </w:rPr>
      </w:pPr>
      <w:r w:rsidRPr="0028344F">
        <w:rPr>
          <w:b/>
          <w:bCs/>
          <w:color w:val="002060"/>
        </w:rPr>
        <w:t>Conclusion</w:t>
      </w:r>
    </w:p>
    <w:p w14:paraId="415431CF" w14:textId="77777777" w:rsidR="0028344F" w:rsidRPr="0028344F" w:rsidRDefault="0028344F" w:rsidP="0028344F">
      <w:pPr>
        <w:spacing w:after="0" w:line="240" w:lineRule="auto"/>
        <w:jc w:val="both"/>
        <w:rPr>
          <w:b/>
          <w:bCs/>
          <w:color w:val="002060"/>
        </w:rPr>
      </w:pPr>
    </w:p>
    <w:p w14:paraId="45BA8472" w14:textId="77777777" w:rsidR="00460448" w:rsidRDefault="00000000" w:rsidP="0028344F">
      <w:pPr>
        <w:spacing w:after="0" w:line="240" w:lineRule="auto"/>
        <w:jc w:val="both"/>
      </w:pPr>
      <w:r>
        <w:t>Chapter 4 demonstrates that the White Advantage at the bottom of the distribution is a mechanical illusion; functionally, it is a used car. The White working class is driving a depreciating asset while the Black working class is often waiting for the bus, but neither is flying.</w:t>
      </w:r>
    </w:p>
    <w:p w14:paraId="0FA11D85" w14:textId="77777777" w:rsidR="0028344F" w:rsidRDefault="0028344F" w:rsidP="0028344F">
      <w:pPr>
        <w:spacing w:after="0" w:line="240" w:lineRule="auto"/>
        <w:jc w:val="both"/>
      </w:pPr>
    </w:p>
    <w:p w14:paraId="1F77E9C6" w14:textId="77777777" w:rsidR="00460448" w:rsidRDefault="00000000" w:rsidP="0028344F">
      <w:pPr>
        <w:spacing w:after="0" w:line="240" w:lineRule="auto"/>
        <w:jc w:val="both"/>
      </w:pPr>
      <w:r>
        <w:t>Accepting these findings requires an end to the Education Mirage and a shift toward policies that provide Wealth-Generating Functioning early in life. To restore meritocracy, the state must replace Startup Debt with Launch Capital, granting every citizen access to the same mechanics of compound growth (r &gt; g) that the elite currently monopolize.</w:t>
      </w:r>
    </w:p>
    <w:p w14:paraId="56501B08" w14:textId="77777777" w:rsidR="00460448" w:rsidRDefault="00000000" w:rsidP="0028344F">
      <w:pPr>
        <w:spacing w:after="0" w:line="240" w:lineRule="auto"/>
      </w:pPr>
      <w:r>
        <w:br/>
        <w:t>------------------------------</w:t>
      </w:r>
    </w:p>
    <w:p w14:paraId="5A29F465" w14:textId="77777777" w:rsidR="00460448" w:rsidRDefault="00000000" w:rsidP="0028344F">
      <w:pPr>
        <w:spacing w:after="0" w:line="240" w:lineRule="auto"/>
      </w:pPr>
      <w:r>
        <w:rPr>
          <w:rFonts w:ascii="Arial" w:hAnsi="Arial"/>
          <w:i/>
          <w:color w:val="808080"/>
          <w:sz w:val="18"/>
        </w:rPr>
        <w:t>AI Disclosure Statement: This document utilized Google Gemini (2026 version) to harmonize research data into a cohesive visual brand identity. All statistical interpretations are derived from original research by William Elliott et al.</w:t>
      </w:r>
    </w:p>
    <w:sectPr w:rsidR="00460448"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3FD3" w14:textId="77777777" w:rsidR="007A21B6" w:rsidRDefault="007A21B6">
      <w:pPr>
        <w:spacing w:after="0" w:line="240" w:lineRule="auto"/>
      </w:pPr>
      <w:r>
        <w:separator/>
      </w:r>
    </w:p>
  </w:endnote>
  <w:endnote w:type="continuationSeparator" w:id="0">
    <w:p w14:paraId="137C8C7B" w14:textId="77777777" w:rsidR="007A21B6" w:rsidRDefault="007A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8FEA" w14:textId="77777777" w:rsidR="00460448" w:rsidRDefault="00000000">
    <w:pPr>
      <w:pStyle w:val="Footer"/>
      <w:jc w:val="center"/>
    </w:pPr>
    <w:r>
      <w:rPr>
        <w:rFonts w:ascii="Arial" w:hAnsi="Arial"/>
        <w:i/>
        <w:color w:val="808080"/>
        <w:sz w:val="16"/>
      </w:rPr>
      <w:t>Occupy 2.0 Digital Archive | File: Policy Brief_Chpt.4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BA23" w14:textId="77777777" w:rsidR="007A21B6" w:rsidRDefault="007A21B6">
      <w:pPr>
        <w:spacing w:after="0" w:line="240" w:lineRule="auto"/>
      </w:pPr>
      <w:r>
        <w:separator/>
      </w:r>
    </w:p>
  </w:footnote>
  <w:footnote w:type="continuationSeparator" w:id="0">
    <w:p w14:paraId="11D8A857" w14:textId="77777777" w:rsidR="007A21B6" w:rsidRDefault="007A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33332D"/>
    <w:multiLevelType w:val="hybridMultilevel"/>
    <w:tmpl w:val="F08A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30DDD"/>
    <w:multiLevelType w:val="hybridMultilevel"/>
    <w:tmpl w:val="1D2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394129">
    <w:abstractNumId w:val="8"/>
  </w:num>
  <w:num w:numId="2" w16cid:durableId="302663789">
    <w:abstractNumId w:val="6"/>
  </w:num>
  <w:num w:numId="3" w16cid:durableId="1791628962">
    <w:abstractNumId w:val="5"/>
  </w:num>
  <w:num w:numId="4" w16cid:durableId="842276647">
    <w:abstractNumId w:val="4"/>
  </w:num>
  <w:num w:numId="5" w16cid:durableId="465127146">
    <w:abstractNumId w:val="7"/>
  </w:num>
  <w:num w:numId="6" w16cid:durableId="736829090">
    <w:abstractNumId w:val="3"/>
  </w:num>
  <w:num w:numId="7" w16cid:durableId="424962501">
    <w:abstractNumId w:val="2"/>
  </w:num>
  <w:num w:numId="8" w16cid:durableId="594095604">
    <w:abstractNumId w:val="1"/>
  </w:num>
  <w:num w:numId="9" w16cid:durableId="1352488809">
    <w:abstractNumId w:val="0"/>
  </w:num>
  <w:num w:numId="10" w16cid:durableId="79909029">
    <w:abstractNumId w:val="9"/>
  </w:num>
  <w:num w:numId="11" w16cid:durableId="1546478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481"/>
    <w:rsid w:val="0015074B"/>
    <w:rsid w:val="0028344F"/>
    <w:rsid w:val="0029639D"/>
    <w:rsid w:val="00326F90"/>
    <w:rsid w:val="00460448"/>
    <w:rsid w:val="007A21B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A6AB3"/>
  <w14:defaultImageDpi w14:val="300"/>
  <w15:docId w15:val="{C83E19FF-AAF2-2741-98B0-BDFC6CD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99"/>
    <w:rsid w:val="002834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4891</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William</cp:lastModifiedBy>
  <cp:revision>2</cp:revision>
  <dcterms:created xsi:type="dcterms:W3CDTF">2026-01-19T00:47:00Z</dcterms:created>
  <dcterms:modified xsi:type="dcterms:W3CDTF">2026-01-19T00:47:00Z</dcterms:modified>
  <cp:category/>
</cp:coreProperties>
</file>