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01DFA" w14:textId="77777777" w:rsidR="00E83683" w:rsidRPr="00E83683" w:rsidRDefault="00E83683" w:rsidP="00E83683">
      <w:pPr>
        <w:rPr>
          <w:b/>
          <w:bCs/>
        </w:rPr>
      </w:pPr>
      <w:r w:rsidRPr="00E83683">
        <w:rPr>
          <w:b/>
          <w:bCs/>
        </w:rPr>
        <w:t>Policy Brief: The Race Tax</w:t>
      </w:r>
    </w:p>
    <w:p w14:paraId="12AADC49" w14:textId="77777777" w:rsidR="00E83683" w:rsidRPr="00E83683" w:rsidRDefault="00E83683" w:rsidP="00E83683">
      <w:r w:rsidRPr="00E83683">
        <w:rPr>
          <w:b/>
          <w:bCs/>
        </w:rPr>
        <w:t xml:space="preserve">Chapter 3: </w:t>
      </w:r>
      <w:r w:rsidRPr="00E83683">
        <w:rPr>
          <w:b/>
          <w:bCs/>
          <w:i/>
          <w:iCs/>
        </w:rPr>
        <w:t>Beyond the Racial Wealth Gap: Structural Class Exclusion and the Case for a Social Mobility Revolution in America</w:t>
      </w:r>
    </w:p>
    <w:p w14:paraId="6662B1BD" w14:textId="77777777" w:rsidR="00E83683" w:rsidRPr="00E83683" w:rsidRDefault="00E83683" w:rsidP="00E83683">
      <w:pPr>
        <w:rPr>
          <w:b/>
          <w:bCs/>
        </w:rPr>
      </w:pPr>
      <w:r w:rsidRPr="00E83683">
        <w:rPr>
          <w:b/>
          <w:bCs/>
        </w:rPr>
        <w:t>Executive Summary: The Chapter Claim</w:t>
      </w:r>
    </w:p>
    <w:p w14:paraId="73497AFF" w14:textId="627ADB47" w:rsidR="00E83683" w:rsidRPr="00E83683" w:rsidRDefault="00E83683" w:rsidP="00E83683">
      <w:r w:rsidRPr="00E83683">
        <w:t xml:space="preserve">Chapter 3 quantifies the </w:t>
      </w:r>
      <w:r w:rsidRPr="00E83683">
        <w:rPr>
          <w:b/>
          <w:bCs/>
        </w:rPr>
        <w:t>Structural Race Tax</w:t>
      </w:r>
      <w:r w:rsidRPr="00E83683">
        <w:t xml:space="preserve">—the specific atmospheric drag that converts potential upward movement into a </w:t>
      </w:r>
      <w:r w:rsidRPr="00E83683">
        <w:rPr>
          <w:b/>
          <w:bCs/>
        </w:rPr>
        <w:t>Concrete Ceiling</w:t>
      </w:r>
      <w:r w:rsidRPr="00E83683">
        <w:t xml:space="preserve"> for Black households. While the previous chapters diagnosed the class-based failure of the economic engine, this chapter demonstrates that race operates as a multiplier of friction, burning the fuel of effort twice as fast for Black families.</w:t>
      </w:r>
    </w:p>
    <w:p w14:paraId="5D38B830" w14:textId="510FC117" w:rsidR="00E83683" w:rsidRPr="00E83683" w:rsidRDefault="00E83683" w:rsidP="00E83683">
      <w:r w:rsidRPr="00E83683">
        <w:t xml:space="preserve">The central finding is a </w:t>
      </w:r>
      <w:r w:rsidRPr="00E83683">
        <w:rPr>
          <w:b/>
          <w:bCs/>
        </w:rPr>
        <w:t>Structural Escalation</w:t>
      </w:r>
      <w:r w:rsidRPr="00E83683">
        <w:t xml:space="preserve">: for the </w:t>
      </w:r>
      <w:r w:rsidRPr="00E83683">
        <w:rPr>
          <w:b/>
          <w:bCs/>
        </w:rPr>
        <w:t>Xennial generation</w:t>
      </w:r>
      <w:r w:rsidRPr="00E83683">
        <w:t xml:space="preserve"> (born in the 1980s), the cost of being Black has more than doubled, resulting in a </w:t>
      </w:r>
      <w:r w:rsidRPr="00E83683">
        <w:rPr>
          <w:b/>
          <w:bCs/>
        </w:rPr>
        <w:t>55% penalty on upward mobility</w:t>
      </w:r>
      <w:r w:rsidRPr="00E83683">
        <w:t>. This proves that for younger cohorts, the path to the middle class has been systematically foreclosed, turning what should be a climb into a permanent trap.</w:t>
      </w:r>
    </w:p>
    <w:p w14:paraId="4A98AAA2" w14:textId="77777777" w:rsidR="00E83683" w:rsidRPr="00E83683" w:rsidRDefault="00E83683" w:rsidP="00E83683">
      <w:pPr>
        <w:rPr>
          <w:b/>
          <w:bCs/>
        </w:rPr>
      </w:pPr>
      <w:r w:rsidRPr="00E83683">
        <w:rPr>
          <w:b/>
          <w:bCs/>
        </w:rPr>
        <w:t>I. Key Definitions: Quantifying the Drag</w:t>
      </w:r>
    </w:p>
    <w:p w14:paraId="5DD6E8D5" w14:textId="77777777" w:rsidR="00E83683" w:rsidRPr="00E83683" w:rsidRDefault="00E83683" w:rsidP="00E83683">
      <w:r w:rsidRPr="00E83683">
        <w:t>To measure the specific impact of racial friction on economic movement, the chapter defines:</w:t>
      </w:r>
    </w:p>
    <w:p w14:paraId="18AF275F" w14:textId="1E3B2B5B" w:rsidR="00E83683" w:rsidRPr="00E83683" w:rsidRDefault="00E83683" w:rsidP="00E83683">
      <w:pPr>
        <w:numPr>
          <w:ilvl w:val="0"/>
          <w:numId w:val="1"/>
        </w:numPr>
      </w:pPr>
      <w:r w:rsidRPr="00E83683">
        <w:rPr>
          <w:b/>
          <w:bCs/>
        </w:rPr>
        <w:t>Race Tax</w:t>
      </w:r>
      <w:r w:rsidRPr="00E83683">
        <w:t>: The specific structural depreciation levied on Black upward mobility rates relative to White peers starting from the same class position.</w:t>
      </w:r>
    </w:p>
    <w:p w14:paraId="128621E2" w14:textId="5EFAFF80" w:rsidR="00E83683" w:rsidRPr="00E83683" w:rsidRDefault="00E83683" w:rsidP="00E83683">
      <w:pPr>
        <w:numPr>
          <w:ilvl w:val="0"/>
          <w:numId w:val="1"/>
        </w:numPr>
      </w:pPr>
      <w:r w:rsidRPr="00E83683">
        <w:rPr>
          <w:b/>
          <w:bCs/>
        </w:rPr>
        <w:t>Concrete Ceiling</w:t>
      </w:r>
      <w:r w:rsidRPr="00E83683">
        <w:t>: The quantifiable denial of upward mobility for Black households, where "rags to riches" leaps are statistically negligible due to siphoning of human capital into debt.</w:t>
      </w:r>
    </w:p>
    <w:p w14:paraId="3ECEA1AF" w14:textId="16BB279B" w:rsidR="00E83683" w:rsidRPr="00E83683" w:rsidRDefault="00E83683" w:rsidP="00E83683">
      <w:pPr>
        <w:numPr>
          <w:ilvl w:val="0"/>
          <w:numId w:val="1"/>
        </w:numPr>
      </w:pPr>
      <w:r w:rsidRPr="00E83683">
        <w:rPr>
          <w:b/>
          <w:bCs/>
        </w:rPr>
        <w:t>Sticky Floor</w:t>
      </w:r>
      <w:r w:rsidRPr="00E83683">
        <w:t>: The mechanical outcome of asset composition where low-wealth households remain trapped because their primary assets (vehicles) depreciate, forcing them to climb an escalator moving downward.</w:t>
      </w:r>
    </w:p>
    <w:p w14:paraId="181D9476" w14:textId="24EB34A9" w:rsidR="00E83683" w:rsidRPr="00E83683" w:rsidRDefault="00E83683" w:rsidP="00E83683">
      <w:pPr>
        <w:numPr>
          <w:ilvl w:val="0"/>
          <w:numId w:val="1"/>
        </w:numPr>
      </w:pPr>
      <w:r w:rsidRPr="00E83683">
        <w:rPr>
          <w:b/>
          <w:bCs/>
        </w:rPr>
        <w:t>Mobility Penalty</w:t>
      </w:r>
      <w:r w:rsidRPr="00E83683">
        <w:t>: A formulaic calculation identifying the percentage of prospects lost solely due to the structural friction associated with race.</w:t>
      </w:r>
    </w:p>
    <w:p w14:paraId="41D53D32" w14:textId="6E4FF894" w:rsidR="00E83683" w:rsidRPr="00E83683" w:rsidRDefault="00E83683" w:rsidP="00E83683">
      <w:pPr>
        <w:numPr>
          <w:ilvl w:val="0"/>
          <w:numId w:val="1"/>
        </w:numPr>
      </w:pPr>
      <w:r w:rsidRPr="00E83683">
        <w:rPr>
          <w:b/>
          <w:bCs/>
        </w:rPr>
        <w:t>Xennials (1980s Cohort)</w:t>
      </w:r>
      <w:r w:rsidRPr="00E83683">
        <w:t>: The first generation to spend their entire lives under the post-1981 tax regime, facing the convergence of the Vehicle Trap and Startup Debt.</w:t>
      </w:r>
    </w:p>
    <w:p w14:paraId="190AC89F" w14:textId="77777777" w:rsidR="00E83683" w:rsidRPr="00E83683" w:rsidRDefault="00E83683" w:rsidP="00E83683">
      <w:pPr>
        <w:rPr>
          <w:b/>
          <w:bCs/>
        </w:rPr>
      </w:pPr>
      <w:r w:rsidRPr="00E83683">
        <w:rPr>
          <w:b/>
          <w:bCs/>
        </w:rPr>
        <w:t>II. Key Statistics and Visual Findings</w:t>
      </w:r>
    </w:p>
    <w:p w14:paraId="4DBF492A" w14:textId="77777777" w:rsidR="00E83683" w:rsidRPr="00E83683" w:rsidRDefault="00E83683" w:rsidP="00E83683">
      <w:r w:rsidRPr="00E83683">
        <w:t>The longitudinal data reveals a devastating trend of declining opportunity and intensifying racial penalties:</w:t>
      </w:r>
    </w:p>
    <w:p w14:paraId="3E669C16" w14:textId="5EB14B07" w:rsidR="00E83683" w:rsidRPr="00E83683" w:rsidRDefault="00E83683" w:rsidP="00E83683">
      <w:pPr>
        <w:numPr>
          <w:ilvl w:val="0"/>
          <w:numId w:val="2"/>
        </w:numPr>
      </w:pPr>
      <w:r w:rsidRPr="00E83683">
        <w:rPr>
          <w:b/>
          <w:bCs/>
        </w:rPr>
        <w:t>55% Xennial Penalty</w:t>
      </w:r>
      <w:r w:rsidRPr="00E83683">
        <w:t xml:space="preserve">: While Baby Boomers and Gen X faced a stable 24% Race Tax, the penalty surged to </w:t>
      </w:r>
      <w:r w:rsidRPr="00E83683">
        <w:rPr>
          <w:b/>
          <w:bCs/>
        </w:rPr>
        <w:t>55%</w:t>
      </w:r>
      <w:r w:rsidRPr="00E83683">
        <w:t xml:space="preserve"> for those born in the 1980s.</w:t>
      </w:r>
    </w:p>
    <w:p w14:paraId="017ECAF1" w14:textId="35B3262D" w:rsidR="00E83683" w:rsidRPr="00E83683" w:rsidRDefault="00E83683" w:rsidP="00E83683">
      <w:pPr>
        <w:numPr>
          <w:ilvl w:val="0"/>
          <w:numId w:val="2"/>
        </w:numPr>
      </w:pPr>
      <w:r w:rsidRPr="00E83683">
        <w:rPr>
          <w:b/>
          <w:bCs/>
        </w:rPr>
        <w:t>The 34-Year Stagnation</w:t>
      </w:r>
      <w:r w:rsidRPr="00E83683">
        <w:t xml:space="preserve">: Tracking a fixed cohort from 1989 to 2023, Black families starting at the bottom ended with a median of only </w:t>
      </w:r>
      <w:r w:rsidRPr="00E83683">
        <w:rPr>
          <w:b/>
          <w:bCs/>
        </w:rPr>
        <w:t>$2,200</w:t>
      </w:r>
      <w:r w:rsidRPr="00E83683">
        <w:t xml:space="preserve"> after three decades of labor.</w:t>
      </w:r>
    </w:p>
    <w:p w14:paraId="783C35F2" w14:textId="7BBEB713" w:rsidR="00E83683" w:rsidRPr="00E83683" w:rsidRDefault="00E83683" w:rsidP="00E83683">
      <w:pPr>
        <w:numPr>
          <w:ilvl w:val="0"/>
          <w:numId w:val="2"/>
        </w:numPr>
      </w:pPr>
      <w:r w:rsidRPr="00E83683">
        <w:rPr>
          <w:b/>
          <w:bCs/>
        </w:rPr>
        <w:t>14% Trap Door Risk</w:t>
      </w:r>
      <w:r w:rsidRPr="00E83683">
        <w:t xml:space="preserve">: Black households in the upper-middle class (Q4) face a </w:t>
      </w:r>
      <w:r w:rsidRPr="00E83683">
        <w:rPr>
          <w:b/>
          <w:bCs/>
        </w:rPr>
        <w:t>14% chance</w:t>
      </w:r>
      <w:r w:rsidRPr="00E83683">
        <w:t xml:space="preserve"> of dropping all the way to the bottom quintile (asset poverty) within just two years—a risk that is effectively zero for White households in the same position.</w:t>
      </w:r>
    </w:p>
    <w:p w14:paraId="38EE802C" w14:textId="4A7DA7D4" w:rsidR="00E83683" w:rsidRPr="00E83683" w:rsidRDefault="00E83683" w:rsidP="00E83683">
      <w:pPr>
        <w:numPr>
          <w:ilvl w:val="0"/>
          <w:numId w:val="2"/>
        </w:numPr>
      </w:pPr>
      <w:r w:rsidRPr="00E83683">
        <w:rPr>
          <w:b/>
          <w:bCs/>
        </w:rPr>
        <w:lastRenderedPageBreak/>
        <w:t>The $944,450 Gap at the Top</w:t>
      </w:r>
      <w:r w:rsidRPr="00E83683">
        <w:t xml:space="preserve">: Even for those who start at the top, the Race Tax grinds down accumulation; the absolute dollar gap between White and Black elite cohorts widened from $187,540 in 1989 to </w:t>
      </w:r>
      <w:r w:rsidRPr="00E83683">
        <w:rPr>
          <w:b/>
          <w:bCs/>
        </w:rPr>
        <w:t>$944,450</w:t>
      </w:r>
      <w:r w:rsidRPr="00E83683">
        <w:t xml:space="preserve"> by 2023.</w:t>
      </w:r>
    </w:p>
    <w:p w14:paraId="30B7F592" w14:textId="3C5DD7FF" w:rsidR="00E83683" w:rsidRPr="00E83683" w:rsidRDefault="00E83683" w:rsidP="00E83683">
      <w:pPr>
        <w:numPr>
          <w:ilvl w:val="0"/>
          <w:numId w:val="2"/>
        </w:numPr>
      </w:pPr>
      <w:r w:rsidRPr="00E83683">
        <w:rPr>
          <w:b/>
          <w:bCs/>
        </w:rPr>
        <w:t>39% Permanent Poverty</w:t>
      </w:r>
      <w:r w:rsidRPr="00E83683">
        <w:t xml:space="preserve">: Survival analysis shows that </w:t>
      </w:r>
      <w:r w:rsidRPr="00E83683">
        <w:rPr>
          <w:b/>
          <w:bCs/>
        </w:rPr>
        <w:t>39% of Black heads of household</w:t>
      </w:r>
      <w:r w:rsidRPr="00E83683">
        <w:t xml:space="preserve"> never exit asset poverty during their working lives, compared to 17% of Whites.</w:t>
      </w:r>
    </w:p>
    <w:p w14:paraId="588276DC" w14:textId="77777777" w:rsidR="00E83683" w:rsidRPr="00E83683" w:rsidRDefault="00E83683" w:rsidP="00E83683">
      <w:pPr>
        <w:rPr>
          <w:b/>
          <w:bCs/>
        </w:rPr>
      </w:pPr>
      <w:r w:rsidRPr="00E83683">
        <w:rPr>
          <w:b/>
          <w:bCs/>
        </w:rPr>
        <w:t>III. The Escalation of the Race Tax</w:t>
      </w:r>
    </w:p>
    <w:p w14:paraId="2016B169" w14:textId="17B05C17" w:rsidR="00E83683" w:rsidRPr="00E83683" w:rsidRDefault="00E83683" w:rsidP="00E83683">
      <w:r w:rsidRPr="00E83683">
        <w:t>The Policy Lottery has created significantly different mobility outcomes for successive generations. The doubling of the Race Tax for Xennials correlates precisely with the withdrawal of Governmental Capability.</w:t>
      </w:r>
    </w:p>
    <w:p w14:paraId="32F19D93" w14:textId="77777777" w:rsidR="00E83683" w:rsidRPr="00E83683" w:rsidRDefault="00E83683" w:rsidP="00E83683">
      <w:pPr>
        <w:rPr>
          <w:b/>
          <w:bCs/>
        </w:rPr>
      </w:pPr>
      <w:r w:rsidRPr="00E83683">
        <w:rPr>
          <w:b/>
          <w:bCs/>
        </w:rPr>
        <w:t>Table 1: Generational Mobility and the Race Tax (PSID Tracking)</w:t>
      </w:r>
    </w:p>
    <w:tbl>
      <w:tblPr>
        <w:tblStyle w:val="GridTable1Light"/>
        <w:tblW w:w="0" w:type="auto"/>
        <w:tblLook w:val="04A0" w:firstRow="1" w:lastRow="0" w:firstColumn="1" w:lastColumn="0" w:noHBand="0" w:noVBand="1"/>
      </w:tblPr>
      <w:tblGrid>
        <w:gridCol w:w="2319"/>
        <w:gridCol w:w="2227"/>
        <w:gridCol w:w="2190"/>
        <w:gridCol w:w="1787"/>
      </w:tblGrid>
      <w:tr w:rsidR="00E83683" w:rsidRPr="00E83683" w14:paraId="7A290B99" w14:textId="77777777" w:rsidTr="00E836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36E6DE" w14:textId="77777777" w:rsidR="00E83683" w:rsidRPr="00E83683" w:rsidRDefault="00E83683" w:rsidP="00E83683">
            <w:pPr>
              <w:spacing w:after="160" w:line="278" w:lineRule="auto"/>
            </w:pPr>
            <w:r w:rsidRPr="00E83683">
              <w:t>Birth Cohort</w:t>
            </w:r>
          </w:p>
        </w:tc>
        <w:tc>
          <w:tcPr>
            <w:tcW w:w="0" w:type="auto"/>
            <w:hideMark/>
          </w:tcPr>
          <w:p w14:paraId="2743C404" w14:textId="201C3521" w:rsidR="00E83683" w:rsidRPr="00E83683" w:rsidRDefault="00E83683" w:rsidP="00E83683">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E83683">
              <w:t>White Mobility to Q3</w:t>
            </w:r>
          </w:p>
        </w:tc>
        <w:tc>
          <w:tcPr>
            <w:tcW w:w="0" w:type="auto"/>
            <w:hideMark/>
          </w:tcPr>
          <w:p w14:paraId="6DC3A08C" w14:textId="752EF1B3" w:rsidR="00E83683" w:rsidRPr="00E83683" w:rsidRDefault="00E83683" w:rsidP="00E83683">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E83683">
              <w:t>Black Mobility to Q3</w:t>
            </w:r>
          </w:p>
        </w:tc>
        <w:tc>
          <w:tcPr>
            <w:tcW w:w="0" w:type="auto"/>
            <w:hideMark/>
          </w:tcPr>
          <w:p w14:paraId="04EB6222" w14:textId="77777777" w:rsidR="00E83683" w:rsidRDefault="00E83683" w:rsidP="00E83683">
            <w:pPr>
              <w:jc w:val="center"/>
              <w:cnfStyle w:val="100000000000" w:firstRow="1" w:lastRow="0" w:firstColumn="0" w:lastColumn="0" w:oddVBand="0" w:evenVBand="0" w:oddHBand="0" w:evenHBand="0" w:firstRowFirstColumn="0" w:firstRowLastColumn="0" w:lastRowFirstColumn="0" w:lastRowLastColumn="0"/>
              <w:rPr>
                <w:b w:val="0"/>
                <w:bCs w:val="0"/>
              </w:rPr>
            </w:pPr>
            <w:r w:rsidRPr="00E83683">
              <w:t xml:space="preserve">Mobility Penalty </w:t>
            </w:r>
          </w:p>
          <w:p w14:paraId="04F30590" w14:textId="7F5542AA" w:rsidR="00E83683" w:rsidRPr="00E83683" w:rsidRDefault="00E83683" w:rsidP="00E83683">
            <w:pPr>
              <w:jc w:val="center"/>
              <w:cnfStyle w:val="100000000000" w:firstRow="1" w:lastRow="0" w:firstColumn="0" w:lastColumn="0" w:oddVBand="0" w:evenVBand="0" w:oddHBand="0" w:evenHBand="0" w:firstRowFirstColumn="0" w:firstRowLastColumn="0" w:lastRowFirstColumn="0" w:lastRowLastColumn="0"/>
            </w:pPr>
            <w:r w:rsidRPr="00E83683">
              <w:t>(Race Tax)</w:t>
            </w:r>
          </w:p>
        </w:tc>
      </w:tr>
      <w:tr w:rsidR="00E83683" w:rsidRPr="00E83683" w14:paraId="009A408F" w14:textId="77777777" w:rsidTr="00E83683">
        <w:tc>
          <w:tcPr>
            <w:cnfStyle w:val="001000000000" w:firstRow="0" w:lastRow="0" w:firstColumn="1" w:lastColumn="0" w:oddVBand="0" w:evenVBand="0" w:oddHBand="0" w:evenHBand="0" w:firstRowFirstColumn="0" w:firstRowLastColumn="0" w:lastRowFirstColumn="0" w:lastRowLastColumn="0"/>
            <w:tcW w:w="0" w:type="auto"/>
            <w:hideMark/>
          </w:tcPr>
          <w:p w14:paraId="13AEE5D2" w14:textId="77777777" w:rsidR="00E83683" w:rsidRPr="00E83683" w:rsidRDefault="00E83683" w:rsidP="00E83683">
            <w:pPr>
              <w:spacing w:after="160" w:line="278" w:lineRule="auto"/>
            </w:pPr>
            <w:r w:rsidRPr="00E83683">
              <w:t>Baby Boomers (1960s)</w:t>
            </w:r>
          </w:p>
        </w:tc>
        <w:tc>
          <w:tcPr>
            <w:tcW w:w="0" w:type="auto"/>
            <w:hideMark/>
          </w:tcPr>
          <w:p w14:paraId="37B358B8" w14:textId="770AA6D1" w:rsidR="00E83683" w:rsidRPr="00E83683" w:rsidRDefault="00E83683" w:rsidP="00E83683">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E83683">
              <w:t>73%</w:t>
            </w:r>
          </w:p>
        </w:tc>
        <w:tc>
          <w:tcPr>
            <w:tcW w:w="0" w:type="auto"/>
            <w:hideMark/>
          </w:tcPr>
          <w:p w14:paraId="765F63DB" w14:textId="6EAEA1ED" w:rsidR="00E83683" w:rsidRPr="00E83683" w:rsidRDefault="00E83683" w:rsidP="00E83683">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E83683">
              <w:t>56%</w:t>
            </w:r>
          </w:p>
        </w:tc>
        <w:tc>
          <w:tcPr>
            <w:tcW w:w="0" w:type="auto"/>
            <w:hideMark/>
          </w:tcPr>
          <w:p w14:paraId="4486C0AB" w14:textId="3C86E0A2" w:rsidR="00E83683" w:rsidRPr="00E83683" w:rsidRDefault="00E83683" w:rsidP="00E83683">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E83683">
              <w:rPr>
                <w:b/>
                <w:bCs/>
              </w:rPr>
              <w:t>24%</w:t>
            </w:r>
          </w:p>
        </w:tc>
      </w:tr>
      <w:tr w:rsidR="00E83683" w:rsidRPr="00E83683" w14:paraId="55248EC9" w14:textId="77777777" w:rsidTr="00E83683">
        <w:tc>
          <w:tcPr>
            <w:cnfStyle w:val="001000000000" w:firstRow="0" w:lastRow="0" w:firstColumn="1" w:lastColumn="0" w:oddVBand="0" w:evenVBand="0" w:oddHBand="0" w:evenHBand="0" w:firstRowFirstColumn="0" w:firstRowLastColumn="0" w:lastRowFirstColumn="0" w:lastRowLastColumn="0"/>
            <w:tcW w:w="0" w:type="auto"/>
            <w:hideMark/>
          </w:tcPr>
          <w:p w14:paraId="38AB58A9" w14:textId="77777777" w:rsidR="00E83683" w:rsidRPr="00E83683" w:rsidRDefault="00E83683" w:rsidP="00E83683">
            <w:pPr>
              <w:spacing w:after="160" w:line="278" w:lineRule="auto"/>
            </w:pPr>
            <w:r w:rsidRPr="00E83683">
              <w:t>Generation X (1970s)</w:t>
            </w:r>
          </w:p>
        </w:tc>
        <w:tc>
          <w:tcPr>
            <w:tcW w:w="0" w:type="auto"/>
            <w:hideMark/>
          </w:tcPr>
          <w:p w14:paraId="20751367" w14:textId="1D64711C" w:rsidR="00E83683" w:rsidRPr="00E83683" w:rsidRDefault="00E83683" w:rsidP="00E83683">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E83683">
              <w:t>61%</w:t>
            </w:r>
          </w:p>
        </w:tc>
        <w:tc>
          <w:tcPr>
            <w:tcW w:w="0" w:type="auto"/>
            <w:hideMark/>
          </w:tcPr>
          <w:p w14:paraId="46762AB6" w14:textId="3153F2E0" w:rsidR="00E83683" w:rsidRPr="00E83683" w:rsidRDefault="00E83683" w:rsidP="00E83683">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E83683">
              <w:t>46%</w:t>
            </w:r>
          </w:p>
        </w:tc>
        <w:tc>
          <w:tcPr>
            <w:tcW w:w="0" w:type="auto"/>
            <w:hideMark/>
          </w:tcPr>
          <w:p w14:paraId="3E516F38" w14:textId="7C993B96" w:rsidR="00E83683" w:rsidRPr="00E83683" w:rsidRDefault="00E83683" w:rsidP="00E83683">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E83683">
              <w:rPr>
                <w:b/>
                <w:bCs/>
              </w:rPr>
              <w:t>24%</w:t>
            </w:r>
          </w:p>
        </w:tc>
      </w:tr>
      <w:tr w:rsidR="00E83683" w:rsidRPr="00E83683" w14:paraId="0944EE68" w14:textId="77777777" w:rsidTr="00E83683">
        <w:tc>
          <w:tcPr>
            <w:cnfStyle w:val="001000000000" w:firstRow="0" w:lastRow="0" w:firstColumn="1" w:lastColumn="0" w:oddVBand="0" w:evenVBand="0" w:oddHBand="0" w:evenHBand="0" w:firstRowFirstColumn="0" w:firstRowLastColumn="0" w:lastRowFirstColumn="0" w:lastRowLastColumn="0"/>
            <w:tcW w:w="0" w:type="auto"/>
            <w:hideMark/>
          </w:tcPr>
          <w:p w14:paraId="76868DE2" w14:textId="77777777" w:rsidR="00E83683" w:rsidRPr="00E83683" w:rsidRDefault="00E83683" w:rsidP="00E83683">
            <w:pPr>
              <w:spacing w:after="160" w:line="278" w:lineRule="auto"/>
            </w:pPr>
            <w:r w:rsidRPr="00E83683">
              <w:t>Xennials (1980s)</w:t>
            </w:r>
          </w:p>
        </w:tc>
        <w:tc>
          <w:tcPr>
            <w:tcW w:w="0" w:type="auto"/>
            <w:hideMark/>
          </w:tcPr>
          <w:p w14:paraId="22FE0147" w14:textId="1D8FDCE2" w:rsidR="00E83683" w:rsidRPr="00E83683" w:rsidRDefault="00E83683" w:rsidP="00E83683">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E83683">
              <w:t>49%</w:t>
            </w:r>
          </w:p>
        </w:tc>
        <w:tc>
          <w:tcPr>
            <w:tcW w:w="0" w:type="auto"/>
            <w:hideMark/>
          </w:tcPr>
          <w:p w14:paraId="0583C31C" w14:textId="33199974" w:rsidR="00E83683" w:rsidRPr="00E83683" w:rsidRDefault="00E83683" w:rsidP="00E83683">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E83683">
              <w:t>22%</w:t>
            </w:r>
          </w:p>
        </w:tc>
        <w:tc>
          <w:tcPr>
            <w:tcW w:w="0" w:type="auto"/>
            <w:hideMark/>
          </w:tcPr>
          <w:p w14:paraId="2AE0B322" w14:textId="7820B853" w:rsidR="00E83683" w:rsidRPr="00E83683" w:rsidRDefault="00E83683" w:rsidP="00E83683">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E83683">
              <w:rPr>
                <w:b/>
                <w:bCs/>
              </w:rPr>
              <w:t>55%</w:t>
            </w:r>
          </w:p>
        </w:tc>
      </w:tr>
    </w:tbl>
    <w:p w14:paraId="75053F36" w14:textId="77777777" w:rsidR="00E83683" w:rsidRDefault="00E83683" w:rsidP="00E83683">
      <w:pPr>
        <w:spacing w:after="0" w:line="240" w:lineRule="auto"/>
      </w:pPr>
    </w:p>
    <w:p w14:paraId="347AB119" w14:textId="3016C80C" w:rsidR="00E83683" w:rsidRDefault="00E83683" w:rsidP="00E83683">
      <w:pPr>
        <w:spacing w:after="0" w:line="240" w:lineRule="auto"/>
      </w:pPr>
      <w:r w:rsidRPr="00E83683">
        <w:t xml:space="preserve">This trend proves that race is not a static historical artifact but is </w:t>
      </w:r>
      <w:r w:rsidRPr="00E83683">
        <w:rPr>
          <w:b/>
          <w:bCs/>
        </w:rPr>
        <w:t>responsive to policy</w:t>
      </w:r>
      <w:r w:rsidRPr="00E83683">
        <w:t>. The Xennial cohort entered adulthood during the Great Divergence, characterized by the rise of student loan debt and the deregulation of predatory lending.</w:t>
      </w:r>
    </w:p>
    <w:p w14:paraId="772DCBE1" w14:textId="77777777" w:rsidR="00E83683" w:rsidRPr="00E83683" w:rsidRDefault="00E83683" w:rsidP="00E83683">
      <w:pPr>
        <w:spacing w:after="0" w:line="240" w:lineRule="auto"/>
      </w:pPr>
    </w:p>
    <w:p w14:paraId="3BAA445C" w14:textId="77777777" w:rsidR="00E83683" w:rsidRPr="00E83683" w:rsidRDefault="00E83683" w:rsidP="00E83683">
      <w:pPr>
        <w:rPr>
          <w:b/>
          <w:bCs/>
        </w:rPr>
      </w:pPr>
      <w:r w:rsidRPr="00E83683">
        <w:rPr>
          <w:b/>
          <w:bCs/>
        </w:rPr>
        <w:t>IV. The Mechanics of Downward Volatility</w:t>
      </w:r>
    </w:p>
    <w:p w14:paraId="0E0D5192" w14:textId="5E0FFD41" w:rsidR="00E83683" w:rsidRPr="00E83683" w:rsidRDefault="00E83683" w:rsidP="00E83683">
      <w:r w:rsidRPr="00E83683">
        <w:t xml:space="preserve">The Race Tax primarily manifests as a heightened vulnerability to downward shocks. For Black families, the middle class is not a stable platform but a state of </w:t>
      </w:r>
      <w:r w:rsidRPr="00E83683">
        <w:rPr>
          <w:b/>
          <w:bCs/>
        </w:rPr>
        <w:t>structural vertigo</w:t>
      </w:r>
      <w:r w:rsidRPr="00E83683">
        <w:t>.</w:t>
      </w:r>
    </w:p>
    <w:p w14:paraId="2FFF00D7" w14:textId="52C34F81" w:rsidR="00E83683" w:rsidRPr="00E83683" w:rsidRDefault="00E83683" w:rsidP="00E83683">
      <w:pPr>
        <w:numPr>
          <w:ilvl w:val="0"/>
          <w:numId w:val="3"/>
        </w:numPr>
      </w:pPr>
      <w:r w:rsidRPr="00E83683">
        <w:rPr>
          <w:b/>
          <w:bCs/>
        </w:rPr>
        <w:t>Liquidity Crisis</w:t>
      </w:r>
      <w:r w:rsidRPr="00E83683">
        <w:t>: Because Black middle-class households lack liquid shock absorbers, minor mechanical failures or health events become wealth-stripping events.</w:t>
      </w:r>
    </w:p>
    <w:p w14:paraId="64D017C9" w14:textId="49EFAD41" w:rsidR="00E83683" w:rsidRPr="00E83683" w:rsidRDefault="00E83683" w:rsidP="00E83683">
      <w:pPr>
        <w:numPr>
          <w:ilvl w:val="0"/>
          <w:numId w:val="3"/>
        </w:numPr>
      </w:pPr>
      <w:r w:rsidRPr="00E83683">
        <w:rPr>
          <w:b/>
          <w:bCs/>
        </w:rPr>
        <w:t>The Q2 Trap</w:t>
      </w:r>
      <w:r w:rsidRPr="00E83683">
        <w:t xml:space="preserve">: During the late 90s boom, Black working-class (Q2) households were </w:t>
      </w:r>
      <w:r w:rsidRPr="00E83683">
        <w:rPr>
          <w:b/>
          <w:bCs/>
        </w:rPr>
        <w:t>2.5 times more likely</w:t>
      </w:r>
      <w:r w:rsidRPr="00E83683">
        <w:t xml:space="preserve"> to fall into asset poverty (Q1) than their White peers.</w:t>
      </w:r>
    </w:p>
    <w:p w14:paraId="1E2D7880" w14:textId="3A8EF73B" w:rsidR="00E83683" w:rsidRPr="00E83683" w:rsidRDefault="00E83683" w:rsidP="00E83683">
      <w:pPr>
        <w:numPr>
          <w:ilvl w:val="0"/>
          <w:numId w:val="3"/>
        </w:numPr>
      </w:pPr>
      <w:r w:rsidRPr="00E83683">
        <w:rPr>
          <w:b/>
          <w:bCs/>
        </w:rPr>
        <w:t>Wealth vs. Income</w:t>
      </w:r>
      <w:r w:rsidRPr="00E83683">
        <w:t xml:space="preserve">: For every $1 increase in income, the average White family generates </w:t>
      </w:r>
      <w:r w:rsidRPr="00E83683">
        <w:rPr>
          <w:b/>
          <w:bCs/>
        </w:rPr>
        <w:t>$5.19</w:t>
      </w:r>
      <w:r w:rsidRPr="00E83683">
        <w:t xml:space="preserve"> in wealth, while the average Black family generates only </w:t>
      </w:r>
      <w:r w:rsidRPr="00E83683">
        <w:rPr>
          <w:b/>
          <w:bCs/>
        </w:rPr>
        <w:t>$0.69</w:t>
      </w:r>
      <w:r w:rsidRPr="00E83683">
        <w:t>.</w:t>
      </w:r>
    </w:p>
    <w:p w14:paraId="11ACF20E" w14:textId="77777777" w:rsidR="00E83683" w:rsidRPr="00E83683" w:rsidRDefault="00E83683" w:rsidP="00E83683">
      <w:pPr>
        <w:rPr>
          <w:b/>
          <w:bCs/>
        </w:rPr>
      </w:pPr>
      <w:r w:rsidRPr="00E83683">
        <w:rPr>
          <w:b/>
          <w:bCs/>
        </w:rPr>
        <w:t>Conclusion</w:t>
      </w:r>
    </w:p>
    <w:p w14:paraId="3C318B2D" w14:textId="400FF9C4" w:rsidR="00703AF6" w:rsidRDefault="00E83683">
      <w:r w:rsidRPr="00E83683">
        <w:t xml:space="preserve">Chapter 3 provides the quantitative proof that effort does not equal reward in the current American economy. The </w:t>
      </w:r>
      <w:r w:rsidRPr="00E83683">
        <w:rPr>
          <w:b/>
          <w:bCs/>
        </w:rPr>
        <w:t>Structural Race Tax</w:t>
      </w:r>
      <w:r w:rsidRPr="00E83683">
        <w:t xml:space="preserve"> functions as a persistent headwind that burns the fuel of Black labor twice as fast, effectively fencing off the Growth Class for the majority of Black families regardless of their education or income. This Gravity Trap extracts more than just capital; it extracts life, transmitting racialized economic stress across the life course</w:t>
      </w:r>
      <w:r w:rsidRPr="00E83683">
        <w:rPr>
          <w:vertAlign w:val="superscript"/>
        </w:rPr>
        <w:t>33</w:t>
      </w:r>
      <w:r w:rsidRPr="00E83683">
        <w:t xml:space="preserve">. To achieve true meritocracy, policy must move beyond managing these gaps to </w:t>
      </w:r>
      <w:r w:rsidRPr="00E83683">
        <w:rPr>
          <w:b/>
          <w:bCs/>
        </w:rPr>
        <w:t>neutralizing the friction</w:t>
      </w:r>
      <w:r w:rsidRPr="00E83683">
        <w:t xml:space="preserve"> through customized capital endowments that provide the initial lift necessary to defy gravity.</w:t>
      </w:r>
    </w:p>
    <w:sectPr w:rsidR="00703A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5F2"/>
    <w:multiLevelType w:val="multilevel"/>
    <w:tmpl w:val="1708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103897"/>
    <w:multiLevelType w:val="multilevel"/>
    <w:tmpl w:val="809E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FC1400"/>
    <w:multiLevelType w:val="multilevel"/>
    <w:tmpl w:val="CA9E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419666">
    <w:abstractNumId w:val="1"/>
  </w:num>
  <w:num w:numId="2" w16cid:durableId="160895428">
    <w:abstractNumId w:val="0"/>
  </w:num>
  <w:num w:numId="3" w16cid:durableId="1087733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83"/>
    <w:rsid w:val="00073481"/>
    <w:rsid w:val="003E4748"/>
    <w:rsid w:val="00441175"/>
    <w:rsid w:val="00586CC4"/>
    <w:rsid w:val="00703AF6"/>
    <w:rsid w:val="008A51D4"/>
    <w:rsid w:val="009652E8"/>
    <w:rsid w:val="00D00CF2"/>
    <w:rsid w:val="00E83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6EC3"/>
  <w15:chartTrackingRefBased/>
  <w15:docId w15:val="{B7F1479D-84CF-3F4A-ABBB-4B7D34CA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68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6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8368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368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368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368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368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68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68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8368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36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36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36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36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368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8368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836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3683"/>
    <w:pPr>
      <w:spacing w:before="160"/>
      <w:jc w:val="center"/>
    </w:pPr>
    <w:rPr>
      <w:i/>
      <w:iCs/>
      <w:color w:val="404040" w:themeColor="text1" w:themeTint="BF"/>
    </w:rPr>
  </w:style>
  <w:style w:type="character" w:customStyle="1" w:styleId="QuoteChar">
    <w:name w:val="Quote Char"/>
    <w:basedOn w:val="DefaultParagraphFont"/>
    <w:link w:val="Quote"/>
    <w:uiPriority w:val="29"/>
    <w:rsid w:val="00E83683"/>
    <w:rPr>
      <w:i/>
      <w:iCs/>
      <w:color w:val="404040" w:themeColor="text1" w:themeTint="BF"/>
    </w:rPr>
  </w:style>
  <w:style w:type="paragraph" w:styleId="ListParagraph">
    <w:name w:val="List Paragraph"/>
    <w:basedOn w:val="Normal"/>
    <w:uiPriority w:val="34"/>
    <w:qFormat/>
    <w:rsid w:val="00E83683"/>
    <w:pPr>
      <w:ind w:left="720"/>
      <w:contextualSpacing/>
    </w:pPr>
  </w:style>
  <w:style w:type="character" w:styleId="IntenseEmphasis">
    <w:name w:val="Intense Emphasis"/>
    <w:basedOn w:val="DefaultParagraphFont"/>
    <w:uiPriority w:val="21"/>
    <w:qFormat/>
    <w:rsid w:val="00E83683"/>
    <w:rPr>
      <w:i/>
      <w:iCs/>
      <w:color w:val="0F4761" w:themeColor="accent1" w:themeShade="BF"/>
    </w:rPr>
  </w:style>
  <w:style w:type="paragraph" w:styleId="IntenseQuote">
    <w:name w:val="Intense Quote"/>
    <w:basedOn w:val="Normal"/>
    <w:next w:val="Normal"/>
    <w:link w:val="IntenseQuoteChar"/>
    <w:uiPriority w:val="30"/>
    <w:qFormat/>
    <w:rsid w:val="00E83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683"/>
    <w:rPr>
      <w:i/>
      <w:iCs/>
      <w:color w:val="0F4761" w:themeColor="accent1" w:themeShade="BF"/>
    </w:rPr>
  </w:style>
  <w:style w:type="character" w:styleId="IntenseReference">
    <w:name w:val="Intense Reference"/>
    <w:basedOn w:val="DefaultParagraphFont"/>
    <w:uiPriority w:val="32"/>
    <w:qFormat/>
    <w:rsid w:val="00E83683"/>
    <w:rPr>
      <w:b/>
      <w:bCs/>
      <w:smallCaps/>
      <w:color w:val="0F4761" w:themeColor="accent1" w:themeShade="BF"/>
      <w:spacing w:val="5"/>
    </w:rPr>
  </w:style>
  <w:style w:type="table" w:styleId="GridTable1Light">
    <w:name w:val="Grid Table 1 Light"/>
    <w:basedOn w:val="TableNormal"/>
    <w:uiPriority w:val="46"/>
    <w:rsid w:val="00E8368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762</Words>
  <Characters>4344</Characters>
  <Application>Microsoft Office Word</Application>
  <DocSecurity>0</DocSecurity>
  <Lines>86</Lines>
  <Paragraphs>49</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William</dc:creator>
  <cp:keywords/>
  <dc:description/>
  <cp:lastModifiedBy>Elliott, William</cp:lastModifiedBy>
  <cp:revision>1</cp:revision>
  <dcterms:created xsi:type="dcterms:W3CDTF">2026-01-15T01:20:00Z</dcterms:created>
  <dcterms:modified xsi:type="dcterms:W3CDTF">2026-01-15T01:24:00Z</dcterms:modified>
</cp:coreProperties>
</file>